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C" w:rsidRDefault="00D416F7">
      <w:pPr>
        <w:pStyle w:val="Title"/>
      </w:pPr>
      <w:r>
        <w:t xml:space="preserve">Comparison </w:t>
      </w:r>
      <w:proofErr w:type="gramStart"/>
      <w:r>
        <w:t>Of</w:t>
      </w:r>
      <w:proofErr w:type="gramEnd"/>
      <w:r>
        <w:t xml:space="preserve"> Lung Function Tests Between Healthy And Asthmatic Individuals</w:t>
      </w:r>
    </w:p>
    <w:p w:rsidR="0036789C" w:rsidRDefault="0036789C">
      <w:pPr>
        <w:pStyle w:val="BodyText"/>
        <w:spacing w:before="5"/>
        <w:rPr>
          <w:b/>
          <w:sz w:val="27"/>
        </w:rPr>
      </w:pPr>
    </w:p>
    <w:p w:rsidR="0036789C" w:rsidRDefault="00D416F7">
      <w:pPr>
        <w:ind w:left="200"/>
        <w:rPr>
          <w:sz w:val="24"/>
        </w:rPr>
      </w:pPr>
      <w:proofErr w:type="spellStart"/>
      <w:r>
        <w:rPr>
          <w:sz w:val="24"/>
        </w:rPr>
        <w:t>Hira</w:t>
      </w:r>
      <w:proofErr w:type="spellEnd"/>
      <w:r>
        <w:rPr>
          <w:sz w:val="24"/>
        </w:rPr>
        <w:t xml:space="preserve"> Liaquat</w:t>
      </w:r>
      <w:r>
        <w:rPr>
          <w:sz w:val="24"/>
          <w:vertAlign w:val="superscript"/>
        </w:rPr>
        <w:t>1</w:t>
      </w:r>
      <w:r>
        <w:rPr>
          <w:sz w:val="24"/>
        </w:rPr>
        <w:t xml:space="preserve">, </w:t>
      </w:r>
      <w:proofErr w:type="spellStart"/>
      <w:r>
        <w:rPr>
          <w:sz w:val="24"/>
        </w:rPr>
        <w:t>Tabinda</w:t>
      </w:r>
      <w:proofErr w:type="spellEnd"/>
      <w:r>
        <w:rPr>
          <w:sz w:val="24"/>
        </w:rPr>
        <w:t xml:space="preserve"> Najeeb</w:t>
      </w:r>
      <w:r>
        <w:rPr>
          <w:sz w:val="24"/>
          <w:vertAlign w:val="superscript"/>
        </w:rPr>
        <w:t>1</w:t>
      </w:r>
      <w:r>
        <w:rPr>
          <w:sz w:val="24"/>
        </w:rPr>
        <w:t xml:space="preserve"> </w:t>
      </w:r>
      <w:proofErr w:type="spellStart"/>
      <w:r>
        <w:rPr>
          <w:sz w:val="24"/>
        </w:rPr>
        <w:t>Rahima</w:t>
      </w:r>
      <w:proofErr w:type="spellEnd"/>
      <w:r>
        <w:rPr>
          <w:sz w:val="24"/>
        </w:rPr>
        <w:t xml:space="preserve"> Aftab</w:t>
      </w:r>
      <w:r>
        <w:rPr>
          <w:sz w:val="24"/>
          <w:vertAlign w:val="superscript"/>
        </w:rPr>
        <w:t>1</w:t>
      </w:r>
      <w:r>
        <w:rPr>
          <w:sz w:val="24"/>
        </w:rPr>
        <w:t xml:space="preserve">, </w:t>
      </w:r>
      <w:proofErr w:type="spellStart"/>
      <w:r>
        <w:rPr>
          <w:sz w:val="24"/>
        </w:rPr>
        <w:t>Tayyaba</w:t>
      </w:r>
      <w:proofErr w:type="spellEnd"/>
      <w:r>
        <w:rPr>
          <w:sz w:val="24"/>
        </w:rPr>
        <w:t xml:space="preserve"> Kazmi</w:t>
      </w:r>
      <w:r>
        <w:rPr>
          <w:sz w:val="24"/>
          <w:vertAlign w:val="superscript"/>
        </w:rPr>
        <w:t>1</w:t>
      </w:r>
      <w:r>
        <w:rPr>
          <w:sz w:val="24"/>
        </w:rPr>
        <w:t>, Padma Rathore</w:t>
      </w:r>
      <w:r>
        <w:rPr>
          <w:sz w:val="24"/>
          <w:vertAlign w:val="superscript"/>
        </w:rPr>
        <w:t>5</w:t>
      </w:r>
      <w:r>
        <w:rPr>
          <w:sz w:val="24"/>
        </w:rPr>
        <w:t>, Ruqaya</w:t>
      </w:r>
      <w:r>
        <w:rPr>
          <w:sz w:val="24"/>
          <w:vertAlign w:val="superscript"/>
        </w:rPr>
        <w:t>6*</w:t>
      </w:r>
    </w:p>
    <w:p w:rsidR="0036789C" w:rsidRDefault="0036789C">
      <w:pPr>
        <w:pStyle w:val="BodyText"/>
        <w:spacing w:before="2"/>
        <w:rPr>
          <w:sz w:val="24"/>
        </w:rPr>
      </w:pPr>
    </w:p>
    <w:p w:rsidR="0036789C" w:rsidRDefault="00D416F7">
      <w:pPr>
        <w:ind w:left="380" w:right="3706"/>
        <w:rPr>
          <w:i/>
          <w:sz w:val="20"/>
        </w:rPr>
      </w:pPr>
      <w:r>
        <w:rPr>
          <w:i/>
          <w:sz w:val="20"/>
        </w:rPr>
        <w:t xml:space="preserve">Department of Physiology </w:t>
      </w:r>
      <w:proofErr w:type="spellStart"/>
      <w:r>
        <w:rPr>
          <w:i/>
          <w:sz w:val="20"/>
        </w:rPr>
        <w:t>Baqai</w:t>
      </w:r>
      <w:proofErr w:type="spellEnd"/>
      <w:r>
        <w:rPr>
          <w:i/>
          <w:sz w:val="20"/>
        </w:rPr>
        <w:t xml:space="preserve"> Medical University, Karachi, Pakistan Department of Physiology </w:t>
      </w:r>
      <w:proofErr w:type="spellStart"/>
      <w:r>
        <w:rPr>
          <w:i/>
          <w:sz w:val="20"/>
        </w:rPr>
        <w:t>Baqai</w:t>
      </w:r>
      <w:proofErr w:type="spellEnd"/>
      <w:r>
        <w:rPr>
          <w:i/>
          <w:sz w:val="20"/>
        </w:rPr>
        <w:t xml:space="preserve"> Medical University Karachi, Pakistan Department of Biochemistry </w:t>
      </w:r>
      <w:proofErr w:type="spellStart"/>
      <w:r>
        <w:rPr>
          <w:i/>
          <w:sz w:val="20"/>
        </w:rPr>
        <w:t>Baqai</w:t>
      </w:r>
      <w:proofErr w:type="spellEnd"/>
      <w:r>
        <w:rPr>
          <w:i/>
          <w:sz w:val="20"/>
        </w:rPr>
        <w:t xml:space="preserve"> Medical University Karachi, Pakistan Department of Anatomy </w:t>
      </w:r>
      <w:proofErr w:type="spellStart"/>
      <w:r>
        <w:rPr>
          <w:i/>
          <w:sz w:val="20"/>
        </w:rPr>
        <w:t>Baqai</w:t>
      </w:r>
      <w:proofErr w:type="spellEnd"/>
      <w:r>
        <w:rPr>
          <w:i/>
          <w:sz w:val="20"/>
        </w:rPr>
        <w:t xml:space="preserve"> Medical University Karachi, Pakistan Department of Physiology Jinnah Sindh Medical University, Karachi, Pakistan Department of Physiology </w:t>
      </w:r>
      <w:proofErr w:type="spellStart"/>
      <w:r>
        <w:rPr>
          <w:i/>
          <w:sz w:val="20"/>
        </w:rPr>
        <w:t>Baqai</w:t>
      </w:r>
      <w:proofErr w:type="spellEnd"/>
      <w:r>
        <w:rPr>
          <w:i/>
          <w:sz w:val="20"/>
        </w:rPr>
        <w:t xml:space="preserve"> Medical University Karachi, Pakistan</w:t>
      </w:r>
    </w:p>
    <w:p w:rsidR="0036789C" w:rsidRDefault="0036789C" w:rsidP="00CA65B9">
      <w:pPr>
        <w:pStyle w:val="BodyText"/>
        <w:spacing w:after="10"/>
      </w:pPr>
    </w:p>
    <w:tbl>
      <w:tblPr>
        <w:tblW w:w="0" w:type="auto"/>
        <w:tblInd w:w="115" w:type="dxa"/>
        <w:tblLayout w:type="fixed"/>
        <w:tblCellMar>
          <w:left w:w="0" w:type="dxa"/>
          <w:right w:w="0" w:type="dxa"/>
        </w:tblCellMar>
        <w:tblLook w:val="01E0" w:firstRow="1" w:lastRow="1" w:firstColumn="1" w:lastColumn="1" w:noHBand="0" w:noVBand="0"/>
      </w:tblPr>
      <w:tblGrid>
        <w:gridCol w:w="2566"/>
        <w:gridCol w:w="7660"/>
      </w:tblGrid>
      <w:tr w:rsidR="0036789C" w:rsidTr="00CA65B9">
        <w:trPr>
          <w:trHeight w:val="1702"/>
        </w:trPr>
        <w:tc>
          <w:tcPr>
            <w:tcW w:w="2566" w:type="dxa"/>
          </w:tcPr>
          <w:p w:rsidR="0036789C" w:rsidRDefault="0036789C">
            <w:pPr>
              <w:pStyle w:val="TableParagraph"/>
              <w:spacing w:before="3"/>
              <w:rPr>
                <w:sz w:val="17"/>
              </w:rPr>
            </w:pPr>
          </w:p>
          <w:p w:rsidR="0036789C" w:rsidRDefault="00D416F7">
            <w:pPr>
              <w:pStyle w:val="TableParagraph"/>
              <w:ind w:left="200"/>
              <w:rPr>
                <w:sz w:val="18"/>
              </w:rPr>
            </w:pPr>
            <w:r>
              <w:rPr>
                <w:sz w:val="18"/>
              </w:rPr>
              <w:t>Received: September 13, 2020</w:t>
            </w:r>
          </w:p>
          <w:p w:rsidR="0036789C" w:rsidRDefault="00D416F7">
            <w:pPr>
              <w:pStyle w:val="TableParagraph"/>
              <w:spacing w:before="2"/>
              <w:ind w:left="200"/>
              <w:rPr>
                <w:sz w:val="18"/>
              </w:rPr>
            </w:pPr>
            <w:r>
              <w:rPr>
                <w:sz w:val="18"/>
              </w:rPr>
              <w:t>Accepted: October 16, 2020</w:t>
            </w:r>
          </w:p>
        </w:tc>
        <w:tc>
          <w:tcPr>
            <w:tcW w:w="7660" w:type="dxa"/>
          </w:tcPr>
          <w:p w:rsidR="0036789C" w:rsidRDefault="00D416F7" w:rsidP="004A03FC">
            <w:pPr>
              <w:pStyle w:val="TableParagraph"/>
              <w:ind w:left="154" w:right="198"/>
              <w:jc w:val="both"/>
              <w:rPr>
                <w:sz w:val="18"/>
              </w:rPr>
            </w:pPr>
            <w:r>
              <w:rPr>
                <w:b/>
                <w:sz w:val="18"/>
              </w:rPr>
              <w:t xml:space="preserve">Abstract: </w:t>
            </w:r>
            <w:r w:rsidRPr="007B79E4">
              <w:rPr>
                <w:b/>
                <w:sz w:val="18"/>
              </w:rPr>
              <w:t>Background:</w:t>
            </w:r>
            <w:r w:rsidR="00CB05E9">
              <w:rPr>
                <w:b/>
                <w:sz w:val="18"/>
              </w:rPr>
              <w:t xml:space="preserve"> </w:t>
            </w:r>
            <w:r w:rsidR="00CB05E9" w:rsidRPr="00CB05E9">
              <w:rPr>
                <w:sz w:val="18"/>
              </w:rPr>
              <w:t>Comparison of pulmonary function tests</w:t>
            </w:r>
            <w:r w:rsidR="00CB05E9">
              <w:rPr>
                <w:b/>
                <w:sz w:val="18"/>
              </w:rPr>
              <w:t xml:space="preserve"> </w:t>
            </w:r>
            <w:r w:rsidR="00CB05E9" w:rsidRPr="00CB05E9">
              <w:rPr>
                <w:sz w:val="18"/>
              </w:rPr>
              <w:t xml:space="preserve">(PFTs) </w:t>
            </w:r>
            <w:r>
              <w:rPr>
                <w:sz w:val="18"/>
              </w:rPr>
              <w:t xml:space="preserve">were </w:t>
            </w:r>
            <w:r w:rsidR="00CB05E9">
              <w:rPr>
                <w:sz w:val="18"/>
              </w:rPr>
              <w:t>achieved</w:t>
            </w:r>
            <w:r>
              <w:rPr>
                <w:sz w:val="18"/>
              </w:rPr>
              <w:t xml:space="preserve"> </w:t>
            </w:r>
            <w:r w:rsidR="00CB05E9">
              <w:rPr>
                <w:sz w:val="18"/>
              </w:rPr>
              <w:t>between</w:t>
            </w:r>
            <w:r>
              <w:rPr>
                <w:sz w:val="18"/>
              </w:rPr>
              <w:t xml:space="preserve"> asthmatic </w:t>
            </w:r>
            <w:r w:rsidR="003B1A8F">
              <w:rPr>
                <w:sz w:val="18"/>
              </w:rPr>
              <w:t>case</w:t>
            </w:r>
            <w:r>
              <w:rPr>
                <w:sz w:val="18"/>
              </w:rPr>
              <w:t xml:space="preserve"> </w:t>
            </w:r>
            <w:r w:rsidR="00CB05E9">
              <w:rPr>
                <w:sz w:val="18"/>
              </w:rPr>
              <w:t xml:space="preserve">and </w:t>
            </w:r>
            <w:r w:rsidR="003B1A8F">
              <w:rPr>
                <w:sz w:val="18"/>
              </w:rPr>
              <w:t>Controls</w:t>
            </w:r>
            <w:r>
              <w:rPr>
                <w:sz w:val="18"/>
              </w:rPr>
              <w:t xml:space="preserve">. </w:t>
            </w:r>
            <w:r w:rsidRPr="007B79E4">
              <w:rPr>
                <w:b/>
                <w:sz w:val="18"/>
              </w:rPr>
              <w:t>Materials &amp; Methods:</w:t>
            </w:r>
            <w:r>
              <w:rPr>
                <w:sz w:val="18"/>
              </w:rPr>
              <w:t xml:space="preserve"> </w:t>
            </w:r>
            <w:r w:rsidR="003B1A8F">
              <w:rPr>
                <w:sz w:val="18"/>
              </w:rPr>
              <w:t>Case-</w:t>
            </w:r>
            <w:r w:rsidR="00CB05E9">
              <w:rPr>
                <w:sz w:val="18"/>
              </w:rPr>
              <w:t xml:space="preserve">control study </w:t>
            </w:r>
            <w:r w:rsidR="003B1A8F">
              <w:rPr>
                <w:sz w:val="18"/>
              </w:rPr>
              <w:t>conducted</w:t>
            </w:r>
            <w:r w:rsidR="00CB05E9">
              <w:rPr>
                <w:sz w:val="18"/>
              </w:rPr>
              <w:t xml:space="preserve"> at </w:t>
            </w:r>
            <w:proofErr w:type="spellStart"/>
            <w:r w:rsidR="00CB05E9">
              <w:rPr>
                <w:sz w:val="18"/>
              </w:rPr>
              <w:t>Baqai</w:t>
            </w:r>
            <w:proofErr w:type="spellEnd"/>
            <w:r w:rsidR="00CB05E9">
              <w:rPr>
                <w:sz w:val="18"/>
              </w:rPr>
              <w:t xml:space="preserve"> Medical University (50 cases and 50 </w:t>
            </w:r>
            <w:proofErr w:type="gramStart"/>
            <w:r w:rsidR="00CB05E9">
              <w:rPr>
                <w:sz w:val="18"/>
              </w:rPr>
              <w:t>control</w:t>
            </w:r>
            <w:proofErr w:type="gramEnd"/>
            <w:r w:rsidR="00CB05E9">
              <w:rPr>
                <w:sz w:val="18"/>
              </w:rPr>
              <w:t xml:space="preserve">). PFTs in both the participants were estimated by </w:t>
            </w:r>
            <w:proofErr w:type="spellStart"/>
            <w:r w:rsidR="00CB05E9">
              <w:rPr>
                <w:sz w:val="18"/>
              </w:rPr>
              <w:t>spirometry</w:t>
            </w:r>
            <w:proofErr w:type="spellEnd"/>
            <w:r w:rsidR="00CB05E9">
              <w:rPr>
                <w:sz w:val="18"/>
              </w:rPr>
              <w:t>; FE</w:t>
            </w:r>
            <w:r w:rsidR="004A03FC">
              <w:rPr>
                <w:sz w:val="18"/>
              </w:rPr>
              <w:t>C</w:t>
            </w:r>
            <w:r w:rsidR="00CB05E9">
              <w:rPr>
                <w:sz w:val="18"/>
              </w:rPr>
              <w:t xml:space="preserve">, </w:t>
            </w:r>
            <w:r w:rsidR="00D772E9">
              <w:rPr>
                <w:sz w:val="18"/>
              </w:rPr>
              <w:t>FEV1</w:t>
            </w:r>
            <w:r w:rsidR="004A03FC">
              <w:rPr>
                <w:sz w:val="18"/>
              </w:rPr>
              <w:t xml:space="preserve"> and their ratios were estimated. </w:t>
            </w:r>
            <w:r w:rsidRPr="007B79E4">
              <w:rPr>
                <w:b/>
                <w:sz w:val="18"/>
              </w:rPr>
              <w:t>Results:</w:t>
            </w:r>
            <w:r>
              <w:rPr>
                <w:sz w:val="18"/>
              </w:rPr>
              <w:t xml:space="preserve"> </w:t>
            </w:r>
            <w:r w:rsidR="00555539" w:rsidRPr="00555539">
              <w:rPr>
                <w:sz w:val="18"/>
              </w:rPr>
              <w:t>According to the findings</w:t>
            </w:r>
            <w:r w:rsidR="004A03FC">
              <w:rPr>
                <w:sz w:val="18"/>
              </w:rPr>
              <w:t xml:space="preserve"> all </w:t>
            </w:r>
            <w:proofErr w:type="spellStart"/>
            <w:r w:rsidR="004A03FC">
              <w:rPr>
                <w:sz w:val="18"/>
              </w:rPr>
              <w:t>spirometric</w:t>
            </w:r>
            <w:proofErr w:type="spellEnd"/>
            <w:r w:rsidR="004A03FC">
              <w:rPr>
                <w:sz w:val="18"/>
              </w:rPr>
              <w:t xml:space="preserve"> values were lower in asthmatic patients as compared to healthy subjects. Moreover the </w:t>
            </w:r>
            <w:proofErr w:type="spellStart"/>
            <w:r w:rsidR="004A03FC">
              <w:rPr>
                <w:sz w:val="18"/>
              </w:rPr>
              <w:t>asthamatic</w:t>
            </w:r>
            <w:proofErr w:type="spellEnd"/>
            <w:r w:rsidR="004A03FC">
              <w:rPr>
                <w:sz w:val="18"/>
              </w:rPr>
              <w:t xml:space="preserve"> subjects had lower lung values when compared with healthy subjects. </w:t>
            </w:r>
            <w:r w:rsidR="00555539" w:rsidRPr="00555539">
              <w:rPr>
                <w:b/>
                <w:sz w:val="18"/>
              </w:rPr>
              <w:t>Conclusion:</w:t>
            </w:r>
            <w:r w:rsidR="00555539">
              <w:rPr>
                <w:sz w:val="18"/>
              </w:rPr>
              <w:t xml:space="preserve"> </w:t>
            </w:r>
            <w:r w:rsidR="00D772E9">
              <w:rPr>
                <w:sz w:val="18"/>
              </w:rPr>
              <w:t>The current</w:t>
            </w:r>
            <w:r w:rsidR="00555539" w:rsidRPr="00555539">
              <w:rPr>
                <w:sz w:val="18"/>
              </w:rPr>
              <w:t xml:space="preserve"> study </w:t>
            </w:r>
            <w:r w:rsidR="00D772E9">
              <w:rPr>
                <w:sz w:val="18"/>
              </w:rPr>
              <w:t>evaluated</w:t>
            </w:r>
            <w:r w:rsidR="00555539" w:rsidRPr="00555539">
              <w:rPr>
                <w:sz w:val="18"/>
              </w:rPr>
              <w:t xml:space="preserve"> </w:t>
            </w:r>
            <w:proofErr w:type="spellStart"/>
            <w:r w:rsidR="00555539" w:rsidRPr="00555539">
              <w:rPr>
                <w:sz w:val="18"/>
              </w:rPr>
              <w:t>spirometric</w:t>
            </w:r>
            <w:proofErr w:type="spellEnd"/>
            <w:r w:rsidR="00555539" w:rsidRPr="00555539">
              <w:rPr>
                <w:sz w:val="18"/>
              </w:rPr>
              <w:t xml:space="preserve"> values in asthmatic patients in </w:t>
            </w:r>
            <w:proofErr w:type="spellStart"/>
            <w:r w:rsidR="00555539" w:rsidRPr="00555539">
              <w:rPr>
                <w:sz w:val="18"/>
              </w:rPr>
              <w:t>Gadap</w:t>
            </w:r>
            <w:proofErr w:type="spellEnd"/>
            <w:r w:rsidR="00555539" w:rsidRPr="00555539">
              <w:rPr>
                <w:sz w:val="18"/>
              </w:rPr>
              <w:t xml:space="preserve"> area. This study's findings can be applied to the treatment of asthma in people of all ages.</w:t>
            </w:r>
          </w:p>
        </w:tc>
      </w:tr>
    </w:tbl>
    <w:p w:rsidR="0036789C" w:rsidRDefault="0036789C">
      <w:pPr>
        <w:pStyle w:val="BodyText"/>
      </w:pPr>
    </w:p>
    <w:p w:rsidR="0036789C" w:rsidRDefault="00D416F7" w:rsidP="007B79E4">
      <w:pPr>
        <w:pStyle w:val="BodyText"/>
        <w:ind w:left="380"/>
      </w:pPr>
      <w:r>
        <w:rPr>
          <w:b/>
        </w:rPr>
        <w:t xml:space="preserve">Keywords: </w:t>
      </w:r>
      <w:r w:rsidR="007B79E4">
        <w:t xml:space="preserve">Asthma, </w:t>
      </w:r>
      <w:proofErr w:type="spellStart"/>
      <w:r w:rsidR="004A03FC">
        <w:t>Spirometry</w:t>
      </w:r>
      <w:proofErr w:type="spellEnd"/>
      <w:r w:rsidR="004A03FC">
        <w:t>, PFT’s</w:t>
      </w:r>
    </w:p>
    <w:p w:rsidR="0036789C" w:rsidRDefault="0036789C">
      <w:pPr>
        <w:pStyle w:val="BodyText"/>
        <w:spacing w:before="10"/>
        <w:rPr>
          <w:sz w:val="19"/>
        </w:rPr>
      </w:pPr>
    </w:p>
    <w:p w:rsidR="0036789C" w:rsidRDefault="00D416F7">
      <w:pPr>
        <w:pStyle w:val="BodyText"/>
        <w:tabs>
          <w:tab w:val="left" w:pos="1874"/>
          <w:tab w:val="left" w:pos="2773"/>
          <w:tab w:val="left" w:pos="3637"/>
          <w:tab w:val="left" w:pos="4571"/>
          <w:tab w:val="left" w:pos="5586"/>
          <w:tab w:val="left" w:pos="6733"/>
          <w:tab w:val="left" w:pos="7107"/>
          <w:tab w:val="left" w:pos="8205"/>
          <w:tab w:val="left" w:pos="8882"/>
        </w:tabs>
        <w:ind w:left="380" w:right="907"/>
      </w:pPr>
      <w:r>
        <w:rPr>
          <w:b/>
        </w:rPr>
        <w:t>Corresponding</w:t>
      </w:r>
      <w:r>
        <w:rPr>
          <w:b/>
        </w:rPr>
        <w:tab/>
        <w:t>Author:</w:t>
      </w:r>
      <w:r>
        <w:rPr>
          <w:b/>
        </w:rPr>
        <w:tab/>
      </w:r>
      <w:proofErr w:type="spellStart"/>
      <w:r>
        <w:t>Ruqaya</w:t>
      </w:r>
      <w:proofErr w:type="spellEnd"/>
      <w:r>
        <w:t>,</w:t>
      </w:r>
      <w:r>
        <w:tab/>
        <w:t>Assistant</w:t>
      </w:r>
      <w:r>
        <w:tab/>
        <w:t>Professor,</w:t>
      </w:r>
      <w:r>
        <w:tab/>
        <w:t>Department</w:t>
      </w:r>
      <w:r>
        <w:tab/>
        <w:t>of</w:t>
      </w:r>
      <w:r>
        <w:tab/>
        <w:t>Physiology</w:t>
      </w:r>
      <w:r>
        <w:tab/>
      </w:r>
      <w:proofErr w:type="spellStart"/>
      <w:r>
        <w:t>Baqai</w:t>
      </w:r>
      <w:proofErr w:type="spellEnd"/>
      <w:r>
        <w:tab/>
      </w:r>
      <w:r>
        <w:rPr>
          <w:spacing w:val="-3"/>
        </w:rPr>
        <w:t xml:space="preserve">Medical </w:t>
      </w:r>
      <w:r>
        <w:t>University Karachi. Phone #: +923333362707, Email:</w:t>
      </w:r>
      <w:r>
        <w:rPr>
          <w:spacing w:val="2"/>
        </w:rPr>
        <w:t xml:space="preserve"> </w:t>
      </w:r>
      <w:hyperlink r:id="rId8">
        <w:r>
          <w:t>ruqnanrs2009@yahoo.com</w:t>
        </w:r>
      </w:hyperlink>
    </w:p>
    <w:p w:rsidR="0036789C" w:rsidRDefault="0036789C">
      <w:pPr>
        <w:pStyle w:val="BodyText"/>
        <w:spacing w:before="6"/>
      </w:pPr>
    </w:p>
    <w:p w:rsidR="00AC2221" w:rsidRDefault="00AC2221" w:rsidP="00AC2221">
      <w:pPr>
        <w:pStyle w:val="Heading1"/>
        <w:spacing w:line="227" w:lineRule="exact"/>
      </w:pPr>
      <w:r>
        <w:t>Introduction:</w:t>
      </w:r>
    </w:p>
    <w:p w:rsidR="00AC2221" w:rsidRPr="0047551F" w:rsidRDefault="00AC2221" w:rsidP="00AC2221">
      <w:pPr>
        <w:pStyle w:val="BodyText"/>
        <w:ind w:left="380" w:right="340"/>
        <w:jc w:val="both"/>
      </w:pPr>
      <w:r w:rsidRPr="0047551F">
        <w:t>Asthma is the progressive chronic disorder of respiratory system with recurrent episodes of impaired breathing that occurs as</w:t>
      </w:r>
      <w:r w:rsidR="000A22A6">
        <w:t xml:space="preserve"> a result of inflammation and constriction of small airways causing dyspnea</w:t>
      </w:r>
      <w:r w:rsidRPr="0047551F">
        <w:t xml:space="preserve">, coughing, </w:t>
      </w:r>
      <w:proofErr w:type="gramStart"/>
      <w:r w:rsidRPr="0047551F">
        <w:t>chest</w:t>
      </w:r>
      <w:proofErr w:type="gramEnd"/>
      <w:r w:rsidRPr="0047551F">
        <w:t xml:space="preserve"> pain and wheezing. [1]. </w:t>
      </w:r>
      <w:proofErr w:type="gramStart"/>
      <w:r w:rsidRPr="0047551F">
        <w:t>The</w:t>
      </w:r>
      <w:proofErr w:type="gramEnd"/>
      <w:r w:rsidRPr="0047551F">
        <w:t xml:space="preserve"> severity of the asthma varies from mild (occasional symptoms) to extreme (permanent symptoms). [2] Mild asthmatics can also experience serious asthma attack attacks. Airway irritants such as </w:t>
      </w:r>
      <w:proofErr w:type="spellStart"/>
      <w:r w:rsidRPr="0047551F">
        <w:t>enviromental</w:t>
      </w:r>
      <w:proofErr w:type="spellEnd"/>
      <w:r w:rsidRPr="0047551F">
        <w:t xml:space="preserve"> pollution, cigarette smoke, allergens, anxiety, lung infections, and exercise are among the many stimulants that may trigger asthma. [3] The symptoms of asthma are </w:t>
      </w:r>
      <w:proofErr w:type="spellStart"/>
      <w:r w:rsidRPr="0047551F">
        <w:t>characterised</w:t>
      </w:r>
      <w:proofErr w:type="spellEnd"/>
      <w:r w:rsidRPr="0047551F">
        <w:t xml:space="preserve"> by airway obstruction and over responsiveness of the airways, though the obstructive airway is not completely reversible. [4] There are a variety of supporting measures are available to consider the symptoms and severity of asthma that includes thorough medical and physical evaluation, </w:t>
      </w:r>
      <w:proofErr w:type="spellStart"/>
      <w:r w:rsidRPr="0047551F">
        <w:t>spirometry</w:t>
      </w:r>
      <w:proofErr w:type="spellEnd"/>
      <w:r w:rsidRPr="0047551F">
        <w:t xml:space="preserve"> to detect blockade, and consideration of reversibility. [5] </w:t>
      </w:r>
      <w:r w:rsidR="00556804">
        <w:t xml:space="preserve">On the other hand the reversibility is determined by an increased </w:t>
      </w:r>
      <w:r w:rsidR="000A22A6">
        <w:t>FEV1</w:t>
      </w:r>
      <w:r w:rsidR="00556804">
        <w:t xml:space="preserve"> </w:t>
      </w:r>
      <w:r w:rsidRPr="0047551F">
        <w:t>[</w:t>
      </w:r>
      <w:r w:rsidR="00556804">
        <w:t xml:space="preserve">NIHG </w:t>
      </w:r>
      <w:r w:rsidRPr="0047551F">
        <w:t xml:space="preserve">for the Diagnosis and Management of Asthma suggests key steps to diagnose asthma when </w:t>
      </w:r>
      <w:r w:rsidR="003641D2">
        <w:t xml:space="preserve">certain significant </w:t>
      </w:r>
      <w:r w:rsidRPr="0047551F">
        <w:t xml:space="preserve">markers are present. The principal </w:t>
      </w:r>
      <w:proofErr w:type="gramStart"/>
      <w:r w:rsidR="003641D2">
        <w:t xml:space="preserve">indicator </w:t>
      </w:r>
      <w:r w:rsidRPr="0047551F">
        <w:t>include</w:t>
      </w:r>
      <w:proofErr w:type="gramEnd"/>
      <w:r w:rsidRPr="0047551F">
        <w:t xml:space="preserve"> </w:t>
      </w:r>
      <w:r w:rsidR="003641D2">
        <w:t>p</w:t>
      </w:r>
      <w:r w:rsidR="006467EE">
        <w:t xml:space="preserve">articular </w:t>
      </w:r>
      <w:r w:rsidRPr="0047551F">
        <w:t xml:space="preserve">symptoms such as physical test results, as well as adaptive factors and environmental triggers. However, the symptoms can be counteracted by other respiratory tract symptoms </w:t>
      </w:r>
      <w:r w:rsidRPr="0047551F">
        <w:rPr>
          <w:spacing w:val="2"/>
        </w:rPr>
        <w:t>[7].</w:t>
      </w:r>
    </w:p>
    <w:p w:rsidR="00AC2221" w:rsidRPr="0047551F" w:rsidRDefault="00AC2221" w:rsidP="00AC2221">
      <w:pPr>
        <w:pStyle w:val="BodyText"/>
        <w:spacing w:before="3"/>
      </w:pPr>
    </w:p>
    <w:p w:rsidR="00AC2221" w:rsidRPr="0047551F" w:rsidRDefault="00AC2221" w:rsidP="00AC2221">
      <w:pPr>
        <w:pStyle w:val="Heading1"/>
        <w:spacing w:before="1"/>
        <w:jc w:val="both"/>
      </w:pPr>
      <w:r w:rsidRPr="0047551F">
        <w:t>Materials and Methods</w:t>
      </w:r>
    </w:p>
    <w:p w:rsidR="00AC2221" w:rsidRPr="0047551F" w:rsidRDefault="00AC2221" w:rsidP="00AC2221">
      <w:pPr>
        <w:pStyle w:val="BodyText"/>
        <w:ind w:left="380" w:right="341"/>
        <w:jc w:val="both"/>
      </w:pPr>
      <w:r w:rsidRPr="0047551F">
        <w:t xml:space="preserve">This case-control study was </w:t>
      </w:r>
      <w:r w:rsidR="006467EE">
        <w:t xml:space="preserve">carried out </w:t>
      </w:r>
      <w:r w:rsidRPr="0047551F">
        <w:t xml:space="preserve">in the Department of Physiology, </w:t>
      </w:r>
      <w:r w:rsidR="006467EE">
        <w:t>BMU from August 2014-</w:t>
      </w:r>
      <w:r w:rsidRPr="0047551F">
        <w:t xml:space="preserve">March 2015 after approval </w:t>
      </w:r>
      <w:r w:rsidR="006467EE">
        <w:t xml:space="preserve">by </w:t>
      </w:r>
      <w:r w:rsidRPr="0047551F">
        <w:t>Ethics Committee of</w:t>
      </w:r>
      <w:r w:rsidR="006467EE">
        <w:t xml:space="preserve"> BMU</w:t>
      </w:r>
      <w:r w:rsidRPr="0047551F">
        <w:t xml:space="preserve">. Total 100 participants were included; 50 cases of asthma patient comprising </w:t>
      </w:r>
      <w:r w:rsidR="00AC4732">
        <w:t xml:space="preserve">of both the genders having age ranging from 35 to </w:t>
      </w:r>
      <w:r w:rsidRPr="0047551F">
        <w:t>85 and 29</w:t>
      </w:r>
      <w:r w:rsidR="00AC4732">
        <w:t xml:space="preserve"> to </w:t>
      </w:r>
      <w:r w:rsidRPr="0047551F">
        <w:t xml:space="preserve">65 years respectively while 50 control/healthy individuals were </w:t>
      </w:r>
      <w:r w:rsidR="00AC4732">
        <w:t xml:space="preserve">counted in </w:t>
      </w:r>
      <w:r w:rsidRPr="0047551F">
        <w:t xml:space="preserve">for comparison, including both </w:t>
      </w:r>
      <w:r w:rsidR="00AC4732">
        <w:t xml:space="preserve">the genders of age ranges 24 to 58 and 27 to </w:t>
      </w:r>
      <w:r w:rsidRPr="0047551F">
        <w:t xml:space="preserve">60 years respectively. </w:t>
      </w:r>
      <w:proofErr w:type="spellStart"/>
      <w:r w:rsidR="00AC4732">
        <w:t>Spirometric</w:t>
      </w:r>
      <w:proofErr w:type="spellEnd"/>
      <w:r w:rsidR="00AC4732">
        <w:t xml:space="preserve"> analysis was performed </w:t>
      </w:r>
      <w:r w:rsidRPr="0047551F">
        <w:t xml:space="preserve">on </w:t>
      </w:r>
      <w:proofErr w:type="spellStart"/>
      <w:r w:rsidRPr="0047551F">
        <w:t>Vitalograph</w:t>
      </w:r>
      <w:proofErr w:type="spellEnd"/>
      <w:r w:rsidRPr="0047551F">
        <w:t xml:space="preserve"> Micro spirometer Model No</w:t>
      </w:r>
      <w:r w:rsidR="00AC4732">
        <w:t>.MD02374 in both the groups for Vital Capacity</w:t>
      </w:r>
      <w:r w:rsidR="009D2598">
        <w:t>, Forced vital capacity, FEV1</w:t>
      </w:r>
      <w:r w:rsidRPr="0047551F">
        <w:t>, FEV1/FVC</w:t>
      </w:r>
      <w:r w:rsidRPr="0047551F">
        <w:rPr>
          <w:spacing w:val="-1"/>
        </w:rPr>
        <w:t xml:space="preserve"> </w:t>
      </w:r>
      <w:r w:rsidRPr="0047551F">
        <w:t>ratios.</w:t>
      </w:r>
    </w:p>
    <w:p w:rsidR="00AC2221" w:rsidRPr="0047551F" w:rsidRDefault="00AC2221" w:rsidP="00AC2221">
      <w:pPr>
        <w:pStyle w:val="BodyText"/>
        <w:rPr>
          <w:sz w:val="22"/>
        </w:rPr>
      </w:pPr>
    </w:p>
    <w:p w:rsidR="00AC2221" w:rsidRDefault="00AC2221" w:rsidP="00AC2221">
      <w:pPr>
        <w:pStyle w:val="Heading1"/>
      </w:pPr>
      <w:proofErr w:type="spellStart"/>
      <w:r w:rsidRPr="0047551F">
        <w:t>Spirometry</w:t>
      </w:r>
      <w:proofErr w:type="spellEnd"/>
    </w:p>
    <w:p w:rsidR="00AC2221" w:rsidRPr="0047551F" w:rsidRDefault="009D2598" w:rsidP="00AC2221">
      <w:pPr>
        <w:pStyle w:val="Heading1"/>
        <w:spacing w:line="240" w:lineRule="auto"/>
        <w:jc w:val="both"/>
        <w:rPr>
          <w:b w:val="0"/>
          <w:bCs w:val="0"/>
        </w:rPr>
      </w:pPr>
      <w:r>
        <w:rPr>
          <w:b w:val="0"/>
          <w:bCs w:val="0"/>
        </w:rPr>
        <w:t>A</w:t>
      </w:r>
      <w:r w:rsidR="00AC2221" w:rsidRPr="0047551F">
        <w:rPr>
          <w:b w:val="0"/>
          <w:bCs w:val="0"/>
        </w:rPr>
        <w:t xml:space="preserve"> technique for measuring the amount of air an individual inhales </w:t>
      </w:r>
      <w:r>
        <w:rPr>
          <w:b w:val="0"/>
          <w:bCs w:val="0"/>
        </w:rPr>
        <w:t xml:space="preserve">or exhales with respect to time is known as </w:t>
      </w:r>
      <w:proofErr w:type="spellStart"/>
      <w:r>
        <w:rPr>
          <w:b w:val="0"/>
          <w:bCs w:val="0"/>
        </w:rPr>
        <w:t>spirometry</w:t>
      </w:r>
      <w:proofErr w:type="spellEnd"/>
      <w:r>
        <w:rPr>
          <w:b w:val="0"/>
          <w:bCs w:val="0"/>
        </w:rPr>
        <w:t>.</w:t>
      </w:r>
      <w:r w:rsidR="00AC2221" w:rsidRPr="0047551F">
        <w:rPr>
          <w:b w:val="0"/>
          <w:bCs w:val="0"/>
        </w:rPr>
        <w:t xml:space="preserve"> The British Thoracic Society, in 1993, placed a strong emphasis on the use of portable peak flow meters. Portable and small hand held spirometers are better for longer duration </w:t>
      </w:r>
      <w:proofErr w:type="spellStart"/>
      <w:r w:rsidR="00AC2221" w:rsidRPr="0047551F">
        <w:rPr>
          <w:b w:val="0"/>
          <w:bCs w:val="0"/>
        </w:rPr>
        <w:t>spirometric</w:t>
      </w:r>
      <w:proofErr w:type="spellEnd"/>
      <w:r w:rsidR="00AC2221" w:rsidRPr="0047551F">
        <w:rPr>
          <w:b w:val="0"/>
          <w:bCs w:val="0"/>
        </w:rPr>
        <w:t xml:space="preserve"> research, that includes clinical and occupational studies. [8] This procedure calculates and plots air flow using an electronic or mechanical displacement principle and a microprocessor and recorder. </w:t>
      </w:r>
      <w:proofErr w:type="spellStart"/>
      <w:r w:rsidR="00AC2221" w:rsidRPr="0047551F">
        <w:rPr>
          <w:b w:val="0"/>
          <w:bCs w:val="0"/>
        </w:rPr>
        <w:t>Spirometry's</w:t>
      </w:r>
      <w:proofErr w:type="spellEnd"/>
      <w:r w:rsidR="00AC2221" w:rsidRPr="0047551F">
        <w:rPr>
          <w:b w:val="0"/>
          <w:bCs w:val="0"/>
        </w:rPr>
        <w:t xml:space="preserve"> prognostic value is determined by a series of steps that include equipment selection, interpretation, and, finally, clinical assessment.</w:t>
      </w:r>
      <w:r w:rsidR="00AC2221" w:rsidRPr="0047551F">
        <w:rPr>
          <w:b w:val="0"/>
          <w:bCs w:val="0"/>
          <w:spacing w:val="-11"/>
        </w:rPr>
        <w:t xml:space="preserve"> </w:t>
      </w:r>
      <w:r w:rsidR="00AC2221" w:rsidRPr="0047551F">
        <w:rPr>
          <w:b w:val="0"/>
          <w:bCs w:val="0"/>
          <w:spacing w:val="2"/>
        </w:rPr>
        <w:t>[8].</w:t>
      </w:r>
    </w:p>
    <w:p w:rsidR="00AC2221" w:rsidRPr="0047551F" w:rsidRDefault="00AC2221" w:rsidP="00AC2221">
      <w:pPr>
        <w:pStyle w:val="BodyText"/>
        <w:spacing w:before="5"/>
        <w:jc w:val="both"/>
      </w:pPr>
    </w:p>
    <w:p w:rsidR="00AC2221" w:rsidRDefault="00AC2221" w:rsidP="00AC2221">
      <w:pPr>
        <w:pStyle w:val="Heading1"/>
        <w:jc w:val="both"/>
      </w:pPr>
      <w:r>
        <w:t xml:space="preserve">Procedure of </w:t>
      </w:r>
      <w:proofErr w:type="spellStart"/>
      <w:r>
        <w:t>Spirometry</w:t>
      </w:r>
      <w:proofErr w:type="spellEnd"/>
      <w:r>
        <w:t>:</w:t>
      </w:r>
    </w:p>
    <w:p w:rsidR="00AC2221" w:rsidRDefault="00AC2221" w:rsidP="00AC2221">
      <w:pPr>
        <w:pStyle w:val="ListParagraph"/>
        <w:numPr>
          <w:ilvl w:val="0"/>
          <w:numId w:val="2"/>
        </w:numPr>
        <w:tabs>
          <w:tab w:val="left" w:pos="1101"/>
        </w:tabs>
        <w:ind w:right="353"/>
        <w:rPr>
          <w:sz w:val="20"/>
        </w:rPr>
      </w:pPr>
      <w:r>
        <w:rPr>
          <w:sz w:val="20"/>
        </w:rPr>
        <w:t>Hand held portable</w:t>
      </w:r>
      <w:r>
        <w:rPr>
          <w:spacing w:val="-1"/>
          <w:sz w:val="20"/>
        </w:rPr>
        <w:t xml:space="preserve"> </w:t>
      </w:r>
      <w:r>
        <w:rPr>
          <w:sz w:val="20"/>
        </w:rPr>
        <w:t>spirometer was used to assess respiratory tests in both control and cases.</w:t>
      </w:r>
    </w:p>
    <w:p w:rsidR="00AC2221" w:rsidRDefault="008E56DF" w:rsidP="00AC2221">
      <w:pPr>
        <w:pStyle w:val="ListParagraph"/>
        <w:numPr>
          <w:ilvl w:val="0"/>
          <w:numId w:val="2"/>
        </w:numPr>
        <w:tabs>
          <w:tab w:val="left" w:pos="1101"/>
        </w:tabs>
        <w:spacing w:line="229" w:lineRule="exact"/>
        <w:ind w:right="0" w:hanging="361"/>
        <w:rPr>
          <w:sz w:val="20"/>
        </w:rPr>
      </w:pPr>
      <w:proofErr w:type="spellStart"/>
      <w:r>
        <w:rPr>
          <w:sz w:val="20"/>
        </w:rPr>
        <w:t>Spirometry</w:t>
      </w:r>
      <w:proofErr w:type="spellEnd"/>
      <w:r>
        <w:rPr>
          <w:sz w:val="20"/>
        </w:rPr>
        <w:t xml:space="preserve"> was performed as described elsewhere</w:t>
      </w:r>
      <w:r w:rsidR="00AC2221">
        <w:rPr>
          <w:sz w:val="20"/>
        </w:rPr>
        <w:t>.</w:t>
      </w:r>
      <w:r w:rsidR="00AC2221">
        <w:rPr>
          <w:spacing w:val="2"/>
          <w:sz w:val="20"/>
        </w:rPr>
        <w:t xml:space="preserve"> </w:t>
      </w:r>
      <w:r w:rsidR="00AC2221">
        <w:rPr>
          <w:sz w:val="20"/>
        </w:rPr>
        <w:t>[9]</w:t>
      </w:r>
    </w:p>
    <w:p w:rsidR="00AC2221" w:rsidRDefault="00AC2221" w:rsidP="00AC2221">
      <w:pPr>
        <w:pStyle w:val="ListParagraph"/>
        <w:numPr>
          <w:ilvl w:val="0"/>
          <w:numId w:val="2"/>
        </w:numPr>
        <w:tabs>
          <w:tab w:val="left" w:pos="1101"/>
        </w:tabs>
        <w:ind w:right="345"/>
        <w:rPr>
          <w:sz w:val="20"/>
        </w:rPr>
      </w:pPr>
      <w:r>
        <w:rPr>
          <w:sz w:val="20"/>
        </w:rPr>
        <w:t xml:space="preserve">Every participant was briefed instructions as to take an unhurried and full breath </w:t>
      </w:r>
      <w:r>
        <w:rPr>
          <w:spacing w:val="2"/>
          <w:sz w:val="20"/>
        </w:rPr>
        <w:t>in, later</w:t>
      </w:r>
      <w:r>
        <w:rPr>
          <w:sz w:val="20"/>
        </w:rPr>
        <w:t xml:space="preserve"> to blow out maximally into the mouthpiece attached to the spirometer. Inspiration and expiration </w:t>
      </w:r>
      <w:r w:rsidR="0063020E">
        <w:rPr>
          <w:sz w:val="20"/>
        </w:rPr>
        <w:t xml:space="preserve">was performed as stated by </w:t>
      </w:r>
      <w:proofErr w:type="spellStart"/>
      <w:r w:rsidR="0063020E">
        <w:rPr>
          <w:sz w:val="20"/>
        </w:rPr>
        <w:t>Trabelsi</w:t>
      </w:r>
      <w:proofErr w:type="spellEnd"/>
      <w:r w:rsidR="0063020E">
        <w:rPr>
          <w:sz w:val="20"/>
        </w:rPr>
        <w:t xml:space="preserve"> </w:t>
      </w:r>
      <w:r w:rsidR="0063020E" w:rsidRPr="0063020E">
        <w:rPr>
          <w:i/>
          <w:sz w:val="20"/>
        </w:rPr>
        <w:t>et al.,</w:t>
      </w:r>
      <w:r w:rsidR="0063020E">
        <w:rPr>
          <w:sz w:val="20"/>
        </w:rPr>
        <w:t xml:space="preserve"> </w:t>
      </w:r>
      <w:r>
        <w:rPr>
          <w:sz w:val="20"/>
        </w:rPr>
        <w:t>[10]</w:t>
      </w:r>
    </w:p>
    <w:p w:rsidR="00AC2221" w:rsidRDefault="00AC2221" w:rsidP="00AC2221">
      <w:pPr>
        <w:pStyle w:val="ListParagraph"/>
        <w:numPr>
          <w:ilvl w:val="0"/>
          <w:numId w:val="2"/>
        </w:numPr>
        <w:tabs>
          <w:tab w:val="left" w:pos="1101"/>
        </w:tabs>
        <w:ind w:right="0" w:hanging="361"/>
        <w:rPr>
          <w:sz w:val="20"/>
        </w:rPr>
      </w:pPr>
      <w:r>
        <w:rPr>
          <w:sz w:val="20"/>
        </w:rPr>
        <w:lastRenderedPageBreak/>
        <w:t xml:space="preserve">Nose was pinched during expiration while performing </w:t>
      </w:r>
      <w:proofErr w:type="spellStart"/>
      <w:r>
        <w:rPr>
          <w:sz w:val="20"/>
        </w:rPr>
        <w:t>spirometry</w:t>
      </w:r>
      <w:proofErr w:type="spellEnd"/>
      <w:r>
        <w:rPr>
          <w:sz w:val="20"/>
        </w:rPr>
        <w:t xml:space="preserve"> to avoid air wastage air through</w:t>
      </w:r>
      <w:r>
        <w:rPr>
          <w:spacing w:val="-18"/>
          <w:sz w:val="20"/>
        </w:rPr>
        <w:t xml:space="preserve"> </w:t>
      </w:r>
      <w:r>
        <w:rPr>
          <w:sz w:val="20"/>
        </w:rPr>
        <w:t xml:space="preserve">nose. Applying nose clips bears no effect on the result of </w:t>
      </w:r>
      <w:proofErr w:type="spellStart"/>
      <w:r>
        <w:rPr>
          <w:sz w:val="20"/>
        </w:rPr>
        <w:t>spirometry</w:t>
      </w:r>
      <w:proofErr w:type="spellEnd"/>
      <w:r>
        <w:rPr>
          <w:spacing w:val="-10"/>
          <w:sz w:val="20"/>
        </w:rPr>
        <w:t xml:space="preserve"> </w:t>
      </w:r>
      <w:r>
        <w:rPr>
          <w:sz w:val="20"/>
        </w:rPr>
        <w:t>[11]</w:t>
      </w:r>
    </w:p>
    <w:p w:rsidR="00AC2221" w:rsidRDefault="00AC2221" w:rsidP="00AC2221">
      <w:pPr>
        <w:pStyle w:val="ListParagraph"/>
        <w:numPr>
          <w:ilvl w:val="0"/>
          <w:numId w:val="2"/>
        </w:numPr>
        <w:tabs>
          <w:tab w:val="left" w:pos="1101"/>
        </w:tabs>
        <w:ind w:right="345"/>
        <w:rPr>
          <w:sz w:val="20"/>
        </w:rPr>
      </w:pPr>
      <w:r>
        <w:rPr>
          <w:sz w:val="20"/>
        </w:rPr>
        <w:t>Minimum of three FVC readings were recorded [12]</w:t>
      </w:r>
    </w:p>
    <w:p w:rsidR="00AC2221" w:rsidRDefault="00AC2221" w:rsidP="00AC2221">
      <w:pPr>
        <w:tabs>
          <w:tab w:val="left" w:pos="1101"/>
        </w:tabs>
        <w:spacing w:line="229" w:lineRule="exact"/>
        <w:rPr>
          <w:sz w:val="20"/>
        </w:rPr>
      </w:pPr>
    </w:p>
    <w:p w:rsidR="00AC2221" w:rsidRPr="00696DB2" w:rsidRDefault="00AC2221" w:rsidP="00AC2221">
      <w:pPr>
        <w:tabs>
          <w:tab w:val="left" w:pos="1101"/>
        </w:tabs>
        <w:spacing w:line="229" w:lineRule="exact"/>
        <w:rPr>
          <w:sz w:val="20"/>
        </w:rPr>
      </w:pPr>
    </w:p>
    <w:p w:rsidR="00AC2221" w:rsidRDefault="00AC2221" w:rsidP="00AC2221">
      <w:pPr>
        <w:pStyle w:val="BodyText"/>
        <w:spacing w:before="1"/>
        <w:ind w:left="380" w:right="344"/>
        <w:jc w:val="both"/>
      </w:pPr>
      <w:r>
        <w:rPr>
          <w:b/>
        </w:rPr>
        <w:t xml:space="preserve">Patient Instruction and </w:t>
      </w:r>
      <w:proofErr w:type="spellStart"/>
      <w:r>
        <w:rPr>
          <w:b/>
        </w:rPr>
        <w:t>Manoeuvres</w:t>
      </w:r>
      <w:proofErr w:type="spellEnd"/>
      <w:r>
        <w:rPr>
          <w:b/>
        </w:rPr>
        <w:t xml:space="preserve">: </w:t>
      </w:r>
      <w:proofErr w:type="gramStart"/>
      <w:r>
        <w:t>FVC protocols was</w:t>
      </w:r>
      <w:proofErr w:type="gramEnd"/>
      <w:r>
        <w:t xml:space="preserve"> clearly described to all participants prior to test procedure begins. Initial few </w:t>
      </w:r>
      <w:proofErr w:type="spellStart"/>
      <w:r>
        <w:t>manoeuvres</w:t>
      </w:r>
      <w:proofErr w:type="spellEnd"/>
      <w:r>
        <w:t xml:space="preserve"> were disregarded and not included as patient was not able to perform satisfactory test. </w:t>
      </w:r>
    </w:p>
    <w:p w:rsidR="00AC2221" w:rsidRDefault="00AC2221" w:rsidP="00AC2221">
      <w:pPr>
        <w:pStyle w:val="BodyText"/>
        <w:spacing w:before="1"/>
      </w:pPr>
    </w:p>
    <w:p w:rsidR="00AC2221" w:rsidRDefault="00AC2221" w:rsidP="00AC2221">
      <w:pPr>
        <w:pStyle w:val="BodyText"/>
        <w:ind w:left="380" w:right="348"/>
        <w:jc w:val="both"/>
      </w:pPr>
      <w:r>
        <w:rPr>
          <w:b/>
        </w:rPr>
        <w:t xml:space="preserve">Minimum number of </w:t>
      </w:r>
      <w:proofErr w:type="spellStart"/>
      <w:r>
        <w:rPr>
          <w:b/>
        </w:rPr>
        <w:t>manoeuvres</w:t>
      </w:r>
      <w:proofErr w:type="spellEnd"/>
      <w:r>
        <w:rPr>
          <w:b/>
        </w:rPr>
        <w:t xml:space="preserve">: </w:t>
      </w:r>
      <w:proofErr w:type="spellStart"/>
      <w:r w:rsidR="00B37D1C">
        <w:t>A</w:t>
      </w:r>
      <w:r>
        <w:t>tleast</w:t>
      </w:r>
      <w:proofErr w:type="spellEnd"/>
      <w:r>
        <w:t xml:space="preserve"> three attempts were made </w:t>
      </w:r>
      <w:r w:rsidR="00B37D1C">
        <w:t xml:space="preserve">for each individual </w:t>
      </w:r>
      <w:r>
        <w:t>and the best attempt with larger values for each parameter were</w:t>
      </w:r>
      <w:r w:rsidR="00B37D1C">
        <w:t xml:space="preserve"> included</w:t>
      </w:r>
      <w:r>
        <w:t xml:space="preserve">. </w:t>
      </w:r>
      <w:proofErr w:type="gramStart"/>
      <w:r>
        <w:t>[14, 15].</w:t>
      </w:r>
      <w:proofErr w:type="gramEnd"/>
      <w:r>
        <w:t xml:space="preserve"> Patients were given rest of two to three minutes in between each attempt.</w:t>
      </w:r>
    </w:p>
    <w:p w:rsidR="00AC2221" w:rsidRDefault="00AC2221" w:rsidP="00AC2221">
      <w:pPr>
        <w:pStyle w:val="BodyText"/>
        <w:spacing w:before="4"/>
      </w:pPr>
    </w:p>
    <w:p w:rsidR="00AC2221" w:rsidRDefault="00AC2221" w:rsidP="00AC2221">
      <w:pPr>
        <w:pStyle w:val="Heading1"/>
      </w:pPr>
      <w:r>
        <w:t>Data Analysis</w:t>
      </w:r>
    </w:p>
    <w:p w:rsidR="00AC2221" w:rsidRDefault="002952A2" w:rsidP="00AC2221">
      <w:pPr>
        <w:pStyle w:val="BodyText"/>
        <w:ind w:left="380" w:right="358"/>
      </w:pPr>
      <w:r>
        <w:t xml:space="preserve">For data analysis </w:t>
      </w:r>
      <w:r w:rsidR="00AC2221">
        <w:t xml:space="preserve">SPSS version 19.0 was used. </w:t>
      </w:r>
      <w:r>
        <w:t>Gender as a categorical variables</w:t>
      </w:r>
      <w:r w:rsidR="00AC2221">
        <w:t xml:space="preserve"> were </w:t>
      </w:r>
      <w:r>
        <w:t>re</w:t>
      </w:r>
      <w:r w:rsidR="00AC2221">
        <w:t xml:space="preserve">presented by numbers and </w:t>
      </w:r>
      <w:r>
        <w:t>percentages</w:t>
      </w:r>
      <w:r w:rsidR="00AC2221">
        <w:t xml:space="preserve"> whereas continuous variables such as </w:t>
      </w:r>
      <w:proofErr w:type="spellStart"/>
      <w:r w:rsidR="00AC2221">
        <w:t>spirometric</w:t>
      </w:r>
      <w:proofErr w:type="spellEnd"/>
      <w:r w:rsidR="00AC2221">
        <w:t xml:space="preserve"> values</w:t>
      </w:r>
      <w:r>
        <w:t xml:space="preserve"> and age were represented as </w:t>
      </w:r>
      <w:r w:rsidR="00AC2221">
        <w:t>Mean</w:t>
      </w:r>
    </w:p>
    <w:p w:rsidR="00AC2221" w:rsidRDefault="00AC2221" w:rsidP="00AC2221">
      <w:pPr>
        <w:pStyle w:val="BodyText"/>
        <w:ind w:left="380"/>
      </w:pPr>
      <w:proofErr w:type="gramStart"/>
      <w:r>
        <w:t>± Standard deviatio</w:t>
      </w:r>
      <w:r w:rsidR="002952A2">
        <w:t>n (SD).</w:t>
      </w:r>
      <w:proofErr w:type="gramEnd"/>
      <w:r w:rsidR="002952A2">
        <w:t xml:space="preserve"> Independent t-test was applied</w:t>
      </w:r>
      <w:r>
        <w:t xml:space="preserve"> to calculate significance of these factors in </w:t>
      </w:r>
      <w:r w:rsidR="002952A2">
        <w:t>both the groups with the significance taken as a p value less than 0.05.</w:t>
      </w:r>
    </w:p>
    <w:p w:rsidR="00AC2221" w:rsidRPr="0084600D" w:rsidRDefault="00AC2221" w:rsidP="00AC2221"/>
    <w:p w:rsidR="0036789C" w:rsidRDefault="00D416F7">
      <w:pPr>
        <w:pStyle w:val="Heading1"/>
        <w:spacing w:before="1"/>
      </w:pPr>
      <w:r>
        <w:t>Results</w:t>
      </w:r>
    </w:p>
    <w:p w:rsidR="0036789C" w:rsidRDefault="00B620BB" w:rsidP="00724B96">
      <w:pPr>
        <w:pStyle w:val="BodyText"/>
        <w:ind w:left="380" w:right="358"/>
      </w:pPr>
      <w:proofErr w:type="gramStart"/>
      <w:r>
        <w:t>Table-I</w:t>
      </w:r>
      <w:r w:rsidR="00D416F7">
        <w:t xml:space="preserve"> </w:t>
      </w:r>
      <w:r>
        <w:t>s</w:t>
      </w:r>
      <w:r w:rsidR="00724B96">
        <w:t>howing the distribution of gender of both cases and controls in frequency and prevalence.</w:t>
      </w:r>
      <w:proofErr w:type="gramEnd"/>
      <w:r w:rsidR="00724B96">
        <w:t xml:space="preserve"> No </w:t>
      </w:r>
      <w:r w:rsidR="00D416F7">
        <w:t xml:space="preserve">significant difference </w:t>
      </w:r>
      <w:r>
        <w:t>was observed cases and controls.</w:t>
      </w:r>
    </w:p>
    <w:p w:rsidR="0036789C" w:rsidRDefault="0036789C">
      <w:pPr>
        <w:pStyle w:val="BodyText"/>
        <w:spacing w:before="8"/>
        <w:rPr>
          <w:sz w:val="19"/>
        </w:rPr>
      </w:pPr>
    </w:p>
    <w:p w:rsidR="0036789C" w:rsidRDefault="00D416F7">
      <w:pPr>
        <w:pStyle w:val="BodyText"/>
        <w:ind w:left="380"/>
      </w:pPr>
      <w:r>
        <w:rPr>
          <w:b/>
        </w:rPr>
        <w:t>Table</w:t>
      </w:r>
      <w:r w:rsidR="00B620BB">
        <w:rPr>
          <w:b/>
        </w:rPr>
        <w:t>-I</w:t>
      </w:r>
      <w:r>
        <w:rPr>
          <w:b/>
        </w:rPr>
        <w:t xml:space="preserve">: </w:t>
      </w:r>
      <w:r>
        <w:t>Comparison of gender distribution in controls and cases</w:t>
      </w:r>
    </w:p>
    <w:p w:rsidR="0036789C" w:rsidRDefault="0036789C">
      <w:pPr>
        <w:pStyle w:val="BodyText"/>
        <w:spacing w:before="7"/>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1"/>
        <w:gridCol w:w="1124"/>
        <w:gridCol w:w="1350"/>
        <w:gridCol w:w="652"/>
        <w:gridCol w:w="7"/>
        <w:gridCol w:w="1319"/>
        <w:gridCol w:w="2072"/>
      </w:tblGrid>
      <w:tr w:rsidR="00D07910" w:rsidTr="00D07910">
        <w:trPr>
          <w:trHeight w:val="236"/>
        </w:trPr>
        <w:tc>
          <w:tcPr>
            <w:tcW w:w="1581" w:type="dxa"/>
            <w:vMerge w:val="restart"/>
            <w:vAlign w:val="center"/>
          </w:tcPr>
          <w:p w:rsidR="00D07910" w:rsidRPr="00021C1C" w:rsidRDefault="00D07910" w:rsidP="00D07910">
            <w:pPr>
              <w:jc w:val="center"/>
              <w:rPr>
                <w:sz w:val="2"/>
                <w:szCs w:val="2"/>
              </w:rPr>
            </w:pPr>
          </w:p>
          <w:p w:rsidR="00D07910" w:rsidRPr="00021C1C" w:rsidRDefault="00D07910" w:rsidP="00D07910">
            <w:pPr>
              <w:jc w:val="center"/>
              <w:rPr>
                <w:sz w:val="20"/>
                <w:szCs w:val="20"/>
              </w:rPr>
            </w:pPr>
          </w:p>
          <w:p w:rsidR="00D07910" w:rsidRPr="00021C1C" w:rsidRDefault="00D07910" w:rsidP="00D07910">
            <w:pPr>
              <w:jc w:val="center"/>
              <w:rPr>
                <w:sz w:val="2"/>
                <w:szCs w:val="2"/>
              </w:rPr>
            </w:pPr>
            <w:r w:rsidRPr="00021C1C">
              <w:rPr>
                <w:sz w:val="20"/>
                <w:szCs w:val="20"/>
              </w:rPr>
              <w:t>G</w:t>
            </w:r>
            <w:r>
              <w:rPr>
                <w:sz w:val="20"/>
                <w:szCs w:val="20"/>
              </w:rPr>
              <w:t>ender</w:t>
            </w:r>
          </w:p>
        </w:tc>
        <w:tc>
          <w:tcPr>
            <w:tcW w:w="2474" w:type="dxa"/>
            <w:gridSpan w:val="2"/>
          </w:tcPr>
          <w:p w:rsidR="00D07910" w:rsidRDefault="00D07910" w:rsidP="00D07910">
            <w:pPr>
              <w:pStyle w:val="TableParagraph"/>
              <w:spacing w:before="89" w:line="212" w:lineRule="exact"/>
              <w:ind w:left="491"/>
              <w:rPr>
                <w:b/>
                <w:sz w:val="20"/>
              </w:rPr>
            </w:pPr>
            <w:r>
              <w:rPr>
                <w:b/>
                <w:sz w:val="20"/>
              </w:rPr>
              <w:t>Control (n=50)</w:t>
            </w:r>
          </w:p>
        </w:tc>
        <w:tc>
          <w:tcPr>
            <w:tcW w:w="1978" w:type="dxa"/>
            <w:gridSpan w:val="3"/>
          </w:tcPr>
          <w:p w:rsidR="00D07910" w:rsidRDefault="00D07910" w:rsidP="00D07910">
            <w:pPr>
              <w:pStyle w:val="TableParagraph"/>
              <w:spacing w:before="89" w:line="212" w:lineRule="exact"/>
              <w:ind w:left="619"/>
              <w:rPr>
                <w:b/>
                <w:sz w:val="20"/>
              </w:rPr>
            </w:pPr>
            <w:r>
              <w:rPr>
                <w:b/>
                <w:sz w:val="20"/>
              </w:rPr>
              <w:t>Case (n=50)</w:t>
            </w:r>
          </w:p>
        </w:tc>
        <w:tc>
          <w:tcPr>
            <w:tcW w:w="2072" w:type="dxa"/>
            <w:vMerge w:val="restart"/>
            <w:vAlign w:val="center"/>
          </w:tcPr>
          <w:p w:rsidR="00D07910" w:rsidRPr="00021C1C" w:rsidRDefault="00D07910" w:rsidP="00D07910">
            <w:pPr>
              <w:jc w:val="center"/>
              <w:rPr>
                <w:sz w:val="20"/>
                <w:szCs w:val="20"/>
              </w:rPr>
            </w:pPr>
            <w:r>
              <w:rPr>
                <w:sz w:val="20"/>
                <w:szCs w:val="20"/>
              </w:rPr>
              <w:t>P-value</w:t>
            </w:r>
          </w:p>
        </w:tc>
      </w:tr>
      <w:tr w:rsidR="00D07910" w:rsidTr="00D07910">
        <w:trPr>
          <w:trHeight w:val="490"/>
        </w:trPr>
        <w:tc>
          <w:tcPr>
            <w:tcW w:w="1581" w:type="dxa"/>
            <w:vMerge/>
          </w:tcPr>
          <w:p w:rsidR="00D07910" w:rsidRDefault="00D07910" w:rsidP="00D07910">
            <w:pPr>
              <w:rPr>
                <w:sz w:val="2"/>
                <w:szCs w:val="2"/>
              </w:rPr>
            </w:pPr>
          </w:p>
        </w:tc>
        <w:tc>
          <w:tcPr>
            <w:tcW w:w="1124" w:type="dxa"/>
            <w:vAlign w:val="center"/>
          </w:tcPr>
          <w:p w:rsidR="00D07910" w:rsidRDefault="00D07910" w:rsidP="00D07910">
            <w:pPr>
              <w:pStyle w:val="TableParagraph"/>
              <w:tabs>
                <w:tab w:val="left" w:pos="1374"/>
              </w:tabs>
              <w:spacing w:before="91"/>
              <w:ind w:left="383"/>
              <w:jc w:val="center"/>
              <w:rPr>
                <w:sz w:val="20"/>
              </w:rPr>
            </w:pPr>
            <w:r>
              <w:rPr>
                <w:sz w:val="20"/>
              </w:rPr>
              <w:t>N</w:t>
            </w:r>
          </w:p>
        </w:tc>
        <w:tc>
          <w:tcPr>
            <w:tcW w:w="1350" w:type="dxa"/>
            <w:vAlign w:val="center"/>
          </w:tcPr>
          <w:p w:rsidR="00D07910" w:rsidRDefault="00D07910" w:rsidP="00D07910">
            <w:pPr>
              <w:pStyle w:val="TableParagraph"/>
              <w:tabs>
                <w:tab w:val="left" w:pos="1374"/>
              </w:tabs>
              <w:spacing w:before="91"/>
              <w:jc w:val="center"/>
              <w:rPr>
                <w:sz w:val="20"/>
              </w:rPr>
            </w:pPr>
            <w:r>
              <w:rPr>
                <w:sz w:val="20"/>
              </w:rPr>
              <w:t>%</w:t>
            </w:r>
          </w:p>
        </w:tc>
        <w:tc>
          <w:tcPr>
            <w:tcW w:w="652" w:type="dxa"/>
            <w:vAlign w:val="center"/>
          </w:tcPr>
          <w:p w:rsidR="00D07910" w:rsidRDefault="00D07910" w:rsidP="00D07910">
            <w:pPr>
              <w:pStyle w:val="TableParagraph"/>
              <w:spacing w:before="91"/>
              <w:jc w:val="center"/>
              <w:rPr>
                <w:sz w:val="20"/>
              </w:rPr>
            </w:pPr>
            <w:r>
              <w:rPr>
                <w:sz w:val="20"/>
              </w:rPr>
              <w:t>N</w:t>
            </w:r>
          </w:p>
        </w:tc>
        <w:tc>
          <w:tcPr>
            <w:tcW w:w="1326" w:type="dxa"/>
            <w:gridSpan w:val="2"/>
            <w:vAlign w:val="center"/>
          </w:tcPr>
          <w:p w:rsidR="00D07910" w:rsidRDefault="00D07910" w:rsidP="00D07910">
            <w:pPr>
              <w:pStyle w:val="TableParagraph"/>
              <w:spacing w:before="91"/>
              <w:jc w:val="center"/>
              <w:rPr>
                <w:sz w:val="20"/>
              </w:rPr>
            </w:pPr>
            <w:r>
              <w:rPr>
                <w:sz w:val="20"/>
              </w:rPr>
              <w:t>%</w:t>
            </w:r>
          </w:p>
        </w:tc>
        <w:tc>
          <w:tcPr>
            <w:tcW w:w="2072" w:type="dxa"/>
            <w:vMerge/>
            <w:vAlign w:val="center"/>
          </w:tcPr>
          <w:p w:rsidR="00D07910" w:rsidRDefault="00D07910" w:rsidP="00D07910">
            <w:pPr>
              <w:pStyle w:val="TableParagraph"/>
              <w:jc w:val="center"/>
              <w:rPr>
                <w:sz w:val="2"/>
                <w:szCs w:val="2"/>
              </w:rPr>
            </w:pPr>
          </w:p>
        </w:tc>
      </w:tr>
      <w:tr w:rsidR="00D07910" w:rsidTr="00D07910">
        <w:trPr>
          <w:trHeight w:val="278"/>
        </w:trPr>
        <w:tc>
          <w:tcPr>
            <w:tcW w:w="1581" w:type="dxa"/>
          </w:tcPr>
          <w:p w:rsidR="00D07910" w:rsidRDefault="00D07910" w:rsidP="00D07910">
            <w:pPr>
              <w:pStyle w:val="TableParagraph"/>
              <w:spacing w:line="223" w:lineRule="exact"/>
              <w:ind w:left="31"/>
              <w:rPr>
                <w:sz w:val="20"/>
              </w:rPr>
            </w:pPr>
            <w:r>
              <w:rPr>
                <w:sz w:val="20"/>
              </w:rPr>
              <w:t>Male</w:t>
            </w:r>
          </w:p>
        </w:tc>
        <w:tc>
          <w:tcPr>
            <w:tcW w:w="1124" w:type="dxa"/>
          </w:tcPr>
          <w:p w:rsidR="00D07910" w:rsidRDefault="00D07910" w:rsidP="00D07910">
            <w:pPr>
              <w:pStyle w:val="TableParagraph"/>
              <w:spacing w:before="70"/>
              <w:ind w:left="342" w:right="331"/>
              <w:jc w:val="center"/>
              <w:rPr>
                <w:sz w:val="20"/>
              </w:rPr>
            </w:pPr>
            <w:r>
              <w:rPr>
                <w:sz w:val="20"/>
              </w:rPr>
              <w:t>28</w:t>
            </w:r>
          </w:p>
        </w:tc>
        <w:tc>
          <w:tcPr>
            <w:tcW w:w="1350" w:type="dxa"/>
          </w:tcPr>
          <w:p w:rsidR="00D07910" w:rsidRDefault="00D07910" w:rsidP="00D07910">
            <w:pPr>
              <w:pStyle w:val="TableParagraph"/>
              <w:spacing w:before="70"/>
              <w:ind w:left="546" w:right="535"/>
              <w:jc w:val="center"/>
              <w:rPr>
                <w:sz w:val="20"/>
              </w:rPr>
            </w:pPr>
            <w:r>
              <w:rPr>
                <w:sz w:val="20"/>
              </w:rPr>
              <w:t>56</w:t>
            </w:r>
          </w:p>
        </w:tc>
        <w:tc>
          <w:tcPr>
            <w:tcW w:w="659" w:type="dxa"/>
            <w:gridSpan w:val="2"/>
          </w:tcPr>
          <w:p w:rsidR="00D07910" w:rsidRDefault="00D07910" w:rsidP="00D07910">
            <w:pPr>
              <w:pStyle w:val="TableParagraph"/>
              <w:spacing w:before="70"/>
              <w:ind w:right="347"/>
              <w:jc w:val="right"/>
              <w:rPr>
                <w:sz w:val="20"/>
              </w:rPr>
            </w:pPr>
            <w:r>
              <w:rPr>
                <w:sz w:val="20"/>
              </w:rPr>
              <w:t>25</w:t>
            </w:r>
          </w:p>
        </w:tc>
        <w:tc>
          <w:tcPr>
            <w:tcW w:w="1319" w:type="dxa"/>
          </w:tcPr>
          <w:p w:rsidR="00D07910" w:rsidRDefault="00D07910" w:rsidP="00D07910">
            <w:pPr>
              <w:pStyle w:val="TableParagraph"/>
              <w:spacing w:before="70"/>
              <w:ind w:left="472" w:right="460"/>
              <w:jc w:val="center"/>
              <w:rPr>
                <w:sz w:val="20"/>
              </w:rPr>
            </w:pPr>
            <w:r>
              <w:rPr>
                <w:sz w:val="20"/>
              </w:rPr>
              <w:t>50</w:t>
            </w:r>
          </w:p>
        </w:tc>
        <w:tc>
          <w:tcPr>
            <w:tcW w:w="2072" w:type="dxa"/>
            <w:vMerge w:val="restart"/>
            <w:vAlign w:val="center"/>
          </w:tcPr>
          <w:p w:rsidR="00D07910" w:rsidRDefault="00D07910" w:rsidP="00D07910">
            <w:pPr>
              <w:pStyle w:val="TableParagraph"/>
              <w:spacing w:line="223" w:lineRule="exact"/>
              <w:ind w:left="791" w:right="785"/>
              <w:jc w:val="center"/>
              <w:rPr>
                <w:sz w:val="20"/>
              </w:rPr>
            </w:pPr>
            <w:r>
              <w:rPr>
                <w:sz w:val="20"/>
              </w:rPr>
              <w:t>0.548</w:t>
            </w:r>
          </w:p>
        </w:tc>
      </w:tr>
      <w:tr w:rsidR="00D07910" w:rsidTr="00D07910">
        <w:trPr>
          <w:trHeight w:val="269"/>
        </w:trPr>
        <w:tc>
          <w:tcPr>
            <w:tcW w:w="1581" w:type="dxa"/>
          </w:tcPr>
          <w:p w:rsidR="00D07910" w:rsidRDefault="00D07910" w:rsidP="00D07910">
            <w:pPr>
              <w:pStyle w:val="TableParagraph"/>
              <w:spacing w:line="217" w:lineRule="exact"/>
              <w:ind w:left="31"/>
              <w:rPr>
                <w:sz w:val="20"/>
              </w:rPr>
            </w:pPr>
            <w:r>
              <w:rPr>
                <w:sz w:val="20"/>
              </w:rPr>
              <w:t>Female</w:t>
            </w:r>
          </w:p>
        </w:tc>
        <w:tc>
          <w:tcPr>
            <w:tcW w:w="1124" w:type="dxa"/>
          </w:tcPr>
          <w:p w:rsidR="00D07910" w:rsidRDefault="00D07910" w:rsidP="00D07910">
            <w:pPr>
              <w:pStyle w:val="TableParagraph"/>
              <w:spacing w:before="59"/>
              <w:ind w:left="342" w:right="331"/>
              <w:jc w:val="center"/>
              <w:rPr>
                <w:sz w:val="20"/>
              </w:rPr>
            </w:pPr>
            <w:r>
              <w:rPr>
                <w:sz w:val="20"/>
              </w:rPr>
              <w:t>22</w:t>
            </w:r>
          </w:p>
        </w:tc>
        <w:tc>
          <w:tcPr>
            <w:tcW w:w="1350" w:type="dxa"/>
          </w:tcPr>
          <w:p w:rsidR="00D07910" w:rsidRDefault="00D07910" w:rsidP="00D07910">
            <w:pPr>
              <w:pStyle w:val="TableParagraph"/>
              <w:spacing w:before="59"/>
              <w:ind w:left="546" w:right="535"/>
              <w:jc w:val="center"/>
              <w:rPr>
                <w:sz w:val="20"/>
              </w:rPr>
            </w:pPr>
            <w:r>
              <w:rPr>
                <w:sz w:val="20"/>
              </w:rPr>
              <w:t>44</w:t>
            </w:r>
          </w:p>
        </w:tc>
        <w:tc>
          <w:tcPr>
            <w:tcW w:w="659" w:type="dxa"/>
            <w:gridSpan w:val="2"/>
          </w:tcPr>
          <w:p w:rsidR="00D07910" w:rsidRDefault="00D07910" w:rsidP="00D07910">
            <w:pPr>
              <w:pStyle w:val="TableParagraph"/>
              <w:spacing w:before="59"/>
              <w:ind w:right="347"/>
              <w:jc w:val="right"/>
              <w:rPr>
                <w:sz w:val="20"/>
              </w:rPr>
            </w:pPr>
            <w:r>
              <w:rPr>
                <w:sz w:val="20"/>
              </w:rPr>
              <w:t>25</w:t>
            </w:r>
          </w:p>
        </w:tc>
        <w:tc>
          <w:tcPr>
            <w:tcW w:w="1319" w:type="dxa"/>
          </w:tcPr>
          <w:p w:rsidR="00D07910" w:rsidRDefault="00D07910" w:rsidP="00D07910">
            <w:pPr>
              <w:pStyle w:val="TableParagraph"/>
              <w:spacing w:before="59"/>
              <w:ind w:left="472" w:right="460"/>
              <w:jc w:val="center"/>
              <w:rPr>
                <w:sz w:val="20"/>
              </w:rPr>
            </w:pPr>
            <w:r>
              <w:rPr>
                <w:sz w:val="20"/>
              </w:rPr>
              <w:t>50</w:t>
            </w:r>
          </w:p>
        </w:tc>
        <w:tc>
          <w:tcPr>
            <w:tcW w:w="2072" w:type="dxa"/>
            <w:vMerge/>
          </w:tcPr>
          <w:p w:rsidR="00D07910" w:rsidRDefault="00D07910" w:rsidP="00D07910">
            <w:pPr>
              <w:rPr>
                <w:sz w:val="2"/>
                <w:szCs w:val="2"/>
              </w:rPr>
            </w:pPr>
          </w:p>
        </w:tc>
      </w:tr>
    </w:tbl>
    <w:p w:rsidR="0036789C" w:rsidRDefault="0036789C">
      <w:pPr>
        <w:pStyle w:val="BodyText"/>
        <w:spacing w:before="5"/>
        <w:rPr>
          <w:sz w:val="19"/>
        </w:rPr>
      </w:pPr>
    </w:p>
    <w:p w:rsidR="00B620BB" w:rsidRDefault="00B620BB">
      <w:pPr>
        <w:pStyle w:val="BodyText"/>
        <w:ind w:left="380" w:right="340"/>
        <w:jc w:val="both"/>
      </w:pPr>
    </w:p>
    <w:p w:rsidR="00B620BB" w:rsidRDefault="00B620BB">
      <w:pPr>
        <w:pStyle w:val="BodyText"/>
        <w:ind w:left="380" w:right="340"/>
        <w:jc w:val="both"/>
      </w:pPr>
    </w:p>
    <w:p w:rsidR="00B620BB" w:rsidRDefault="00B620BB">
      <w:pPr>
        <w:pStyle w:val="BodyText"/>
        <w:ind w:left="380" w:right="340"/>
        <w:jc w:val="both"/>
      </w:pPr>
    </w:p>
    <w:p w:rsidR="00B620BB" w:rsidRDefault="00B620BB">
      <w:pPr>
        <w:pStyle w:val="BodyText"/>
        <w:ind w:left="380" w:right="340"/>
        <w:jc w:val="both"/>
      </w:pPr>
    </w:p>
    <w:p w:rsidR="00B620BB" w:rsidRDefault="00B620BB">
      <w:pPr>
        <w:pStyle w:val="BodyText"/>
        <w:ind w:left="380" w:right="340"/>
        <w:jc w:val="both"/>
      </w:pPr>
    </w:p>
    <w:p w:rsidR="00B620BB" w:rsidRDefault="00B620BB">
      <w:pPr>
        <w:pStyle w:val="BodyText"/>
        <w:ind w:left="380" w:right="340"/>
        <w:jc w:val="both"/>
      </w:pPr>
    </w:p>
    <w:p w:rsidR="00B620BB" w:rsidRDefault="00D416F7">
      <w:pPr>
        <w:pStyle w:val="BodyText"/>
        <w:ind w:left="380" w:right="340"/>
        <w:jc w:val="both"/>
      </w:pPr>
      <w:r>
        <w:t>Table</w:t>
      </w:r>
      <w:r w:rsidR="00B620BB">
        <w:t>-II</w:t>
      </w:r>
      <w:r>
        <w:t xml:space="preserve"> </w:t>
      </w:r>
      <w:r w:rsidR="00297A1B">
        <w:t>signifies</w:t>
      </w:r>
      <w:r w:rsidR="00B620BB">
        <w:t xml:space="preserve"> the anthropometric parameters of cases and controls. Age, Height and BMI showed a significant difference whereas non</w:t>
      </w:r>
      <w:r w:rsidR="00015D82">
        <w:t>-</w:t>
      </w:r>
      <w:r w:rsidR="00B620BB">
        <w:t xml:space="preserve">significant was seen in weight. </w:t>
      </w:r>
    </w:p>
    <w:p w:rsidR="00B620BB" w:rsidRDefault="00B620BB">
      <w:pPr>
        <w:pStyle w:val="BodyText"/>
        <w:ind w:left="380" w:right="340"/>
        <w:jc w:val="both"/>
      </w:pPr>
    </w:p>
    <w:p w:rsidR="0036789C" w:rsidRDefault="00D416F7">
      <w:pPr>
        <w:pStyle w:val="BodyText"/>
        <w:spacing w:before="183"/>
        <w:ind w:left="380"/>
      </w:pPr>
      <w:r>
        <w:rPr>
          <w:b/>
        </w:rPr>
        <w:t>Table</w:t>
      </w:r>
      <w:r w:rsidR="00B620BB">
        <w:rPr>
          <w:b/>
        </w:rPr>
        <w:t>-II</w:t>
      </w:r>
      <w:r>
        <w:rPr>
          <w:b/>
        </w:rPr>
        <w:t xml:space="preserve">: </w:t>
      </w:r>
      <w:r>
        <w:t xml:space="preserve">Mean comparison of anthropometric parameters in controls </w:t>
      </w:r>
      <w:proofErr w:type="spellStart"/>
      <w:r w:rsidR="00297A1B">
        <w:t>vs</w:t>
      </w:r>
      <w:proofErr w:type="spellEnd"/>
      <w:r w:rsidR="00297A1B">
        <w:t xml:space="preserve"> </w:t>
      </w:r>
      <w:r>
        <w:t>cases</w:t>
      </w:r>
    </w:p>
    <w:p w:rsidR="0036789C" w:rsidRDefault="0036789C">
      <w:pPr>
        <w:pStyle w:val="BodyText"/>
        <w:spacing w:before="7"/>
      </w:pPr>
    </w:p>
    <w:p w:rsidR="0036789C" w:rsidRDefault="0036789C">
      <w:pPr>
        <w:pStyle w:val="BodyText"/>
        <w:spacing w:before="7"/>
        <w:rPr>
          <w:sz w:val="7"/>
        </w:rPr>
      </w:pPr>
    </w:p>
    <w:tbl>
      <w:tblPr>
        <w:tblW w:w="0" w:type="auto"/>
        <w:tblInd w:w="1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45"/>
        <w:gridCol w:w="1975"/>
        <w:gridCol w:w="1980"/>
        <w:gridCol w:w="1530"/>
      </w:tblGrid>
      <w:tr w:rsidR="00724B96" w:rsidTr="00F2743C">
        <w:trPr>
          <w:trHeight w:val="342"/>
        </w:trPr>
        <w:tc>
          <w:tcPr>
            <w:tcW w:w="1445" w:type="dxa"/>
          </w:tcPr>
          <w:p w:rsidR="00724B96" w:rsidRPr="00021C1C" w:rsidRDefault="00724B96" w:rsidP="00724B96">
            <w:pPr>
              <w:pStyle w:val="TableParagraph"/>
              <w:jc w:val="center"/>
              <w:rPr>
                <w:b/>
                <w:sz w:val="18"/>
              </w:rPr>
            </w:pPr>
            <w:r w:rsidRPr="00021C1C">
              <w:rPr>
                <w:b/>
                <w:sz w:val="18"/>
              </w:rPr>
              <w:t>Parameters</w:t>
            </w:r>
          </w:p>
        </w:tc>
        <w:tc>
          <w:tcPr>
            <w:tcW w:w="1975" w:type="dxa"/>
          </w:tcPr>
          <w:p w:rsidR="00724B96" w:rsidRDefault="00724B96" w:rsidP="00724B96">
            <w:pPr>
              <w:pStyle w:val="TableParagraph"/>
              <w:spacing w:before="88"/>
              <w:jc w:val="center"/>
              <w:rPr>
                <w:sz w:val="20"/>
              </w:rPr>
            </w:pPr>
            <w:r>
              <w:rPr>
                <w:b/>
                <w:sz w:val="20"/>
              </w:rPr>
              <w:t>Control (n=50)</w:t>
            </w:r>
            <w:r>
              <w:rPr>
                <w:b/>
                <w:sz w:val="20"/>
              </w:rPr>
              <w:br/>
            </w:r>
            <w:r>
              <w:rPr>
                <w:sz w:val="20"/>
              </w:rPr>
              <w:t>mean ± SD</w:t>
            </w:r>
          </w:p>
        </w:tc>
        <w:tc>
          <w:tcPr>
            <w:tcW w:w="1980" w:type="dxa"/>
          </w:tcPr>
          <w:p w:rsidR="00724B96" w:rsidRDefault="00724B96" w:rsidP="00724B96">
            <w:pPr>
              <w:pStyle w:val="TableParagraph"/>
              <w:spacing w:before="88"/>
              <w:ind w:left="681"/>
              <w:jc w:val="center"/>
              <w:rPr>
                <w:sz w:val="20"/>
              </w:rPr>
            </w:pPr>
            <w:r>
              <w:rPr>
                <w:b/>
                <w:sz w:val="20"/>
              </w:rPr>
              <w:t>Case (n=50)</w:t>
            </w:r>
            <w:r>
              <w:rPr>
                <w:b/>
                <w:sz w:val="20"/>
              </w:rPr>
              <w:br/>
            </w:r>
            <w:r>
              <w:rPr>
                <w:sz w:val="20"/>
              </w:rPr>
              <w:t>mean ± SD</w:t>
            </w:r>
          </w:p>
        </w:tc>
        <w:tc>
          <w:tcPr>
            <w:tcW w:w="1530" w:type="dxa"/>
          </w:tcPr>
          <w:p w:rsidR="00724B96" w:rsidRDefault="00724B96" w:rsidP="00724B96">
            <w:pPr>
              <w:pStyle w:val="TableParagraph"/>
              <w:jc w:val="center"/>
              <w:rPr>
                <w:sz w:val="18"/>
              </w:rPr>
            </w:pPr>
            <w:r>
              <w:rPr>
                <w:b/>
                <w:sz w:val="20"/>
              </w:rPr>
              <w:t>p-value</w:t>
            </w:r>
          </w:p>
        </w:tc>
      </w:tr>
      <w:tr w:rsidR="00F2743C" w:rsidTr="00F2743C">
        <w:trPr>
          <w:trHeight w:val="304"/>
        </w:trPr>
        <w:tc>
          <w:tcPr>
            <w:tcW w:w="1445" w:type="dxa"/>
          </w:tcPr>
          <w:p w:rsidR="00F2743C" w:rsidRDefault="00F2743C">
            <w:pPr>
              <w:pStyle w:val="TableParagraph"/>
              <w:spacing w:line="220" w:lineRule="exact"/>
              <w:ind w:left="31"/>
              <w:rPr>
                <w:sz w:val="20"/>
              </w:rPr>
            </w:pPr>
            <w:r>
              <w:rPr>
                <w:sz w:val="20"/>
              </w:rPr>
              <w:t>Age (Years)</w:t>
            </w:r>
          </w:p>
        </w:tc>
        <w:tc>
          <w:tcPr>
            <w:tcW w:w="1975" w:type="dxa"/>
          </w:tcPr>
          <w:p w:rsidR="00F2743C" w:rsidRDefault="00F2743C">
            <w:pPr>
              <w:pStyle w:val="TableParagraph"/>
              <w:spacing w:before="66"/>
              <w:ind w:left="472" w:right="465"/>
              <w:jc w:val="center"/>
              <w:rPr>
                <w:sz w:val="20"/>
              </w:rPr>
            </w:pPr>
            <w:r>
              <w:rPr>
                <w:sz w:val="20"/>
              </w:rPr>
              <w:t>41.54±9.54</w:t>
            </w:r>
          </w:p>
        </w:tc>
        <w:tc>
          <w:tcPr>
            <w:tcW w:w="1980" w:type="dxa"/>
          </w:tcPr>
          <w:p w:rsidR="00F2743C" w:rsidRDefault="00F2743C">
            <w:pPr>
              <w:pStyle w:val="TableParagraph"/>
              <w:spacing w:before="66"/>
              <w:ind w:left="422" w:right="419"/>
              <w:jc w:val="center"/>
              <w:rPr>
                <w:sz w:val="20"/>
              </w:rPr>
            </w:pPr>
            <w:r>
              <w:rPr>
                <w:sz w:val="20"/>
              </w:rPr>
              <w:t>53.88±13.65</w:t>
            </w:r>
          </w:p>
        </w:tc>
        <w:tc>
          <w:tcPr>
            <w:tcW w:w="1530" w:type="dxa"/>
          </w:tcPr>
          <w:p w:rsidR="00F2743C" w:rsidRDefault="00F2743C">
            <w:pPr>
              <w:pStyle w:val="TableParagraph"/>
              <w:spacing w:line="220" w:lineRule="exact"/>
              <w:ind w:right="841"/>
              <w:jc w:val="right"/>
              <w:rPr>
                <w:sz w:val="20"/>
              </w:rPr>
            </w:pPr>
            <w:r>
              <w:rPr>
                <w:sz w:val="20"/>
              </w:rPr>
              <w:t>&lt;0.01*</w:t>
            </w:r>
          </w:p>
        </w:tc>
      </w:tr>
      <w:tr w:rsidR="00F2743C" w:rsidTr="00F2743C">
        <w:trPr>
          <w:trHeight w:val="297"/>
        </w:trPr>
        <w:tc>
          <w:tcPr>
            <w:tcW w:w="1445" w:type="dxa"/>
          </w:tcPr>
          <w:p w:rsidR="00F2743C" w:rsidRDefault="00F2743C">
            <w:pPr>
              <w:pStyle w:val="TableParagraph"/>
              <w:spacing w:line="220" w:lineRule="exact"/>
              <w:ind w:left="31"/>
              <w:rPr>
                <w:sz w:val="20"/>
              </w:rPr>
            </w:pPr>
            <w:r>
              <w:rPr>
                <w:sz w:val="20"/>
              </w:rPr>
              <w:t>Weight (Kg)</w:t>
            </w:r>
          </w:p>
        </w:tc>
        <w:tc>
          <w:tcPr>
            <w:tcW w:w="1975" w:type="dxa"/>
          </w:tcPr>
          <w:p w:rsidR="00F2743C" w:rsidRDefault="00F2743C">
            <w:pPr>
              <w:pStyle w:val="TableParagraph"/>
              <w:spacing w:before="61"/>
              <w:ind w:left="472" w:right="465"/>
              <w:jc w:val="center"/>
              <w:rPr>
                <w:sz w:val="20"/>
              </w:rPr>
            </w:pPr>
            <w:r>
              <w:rPr>
                <w:sz w:val="20"/>
              </w:rPr>
              <w:t>62.20±8.74</w:t>
            </w:r>
          </w:p>
        </w:tc>
        <w:tc>
          <w:tcPr>
            <w:tcW w:w="1980" w:type="dxa"/>
          </w:tcPr>
          <w:p w:rsidR="00F2743C" w:rsidRDefault="00F2743C">
            <w:pPr>
              <w:pStyle w:val="TableParagraph"/>
              <w:spacing w:before="61"/>
              <w:ind w:left="422" w:right="419"/>
              <w:jc w:val="center"/>
              <w:rPr>
                <w:sz w:val="20"/>
              </w:rPr>
            </w:pPr>
            <w:r>
              <w:rPr>
                <w:sz w:val="20"/>
              </w:rPr>
              <w:t>65.70±8.83</w:t>
            </w:r>
          </w:p>
        </w:tc>
        <w:tc>
          <w:tcPr>
            <w:tcW w:w="1530" w:type="dxa"/>
          </w:tcPr>
          <w:p w:rsidR="00F2743C" w:rsidRDefault="00F2743C">
            <w:pPr>
              <w:pStyle w:val="TableParagraph"/>
              <w:spacing w:line="220" w:lineRule="exact"/>
              <w:ind w:right="846"/>
              <w:jc w:val="right"/>
              <w:rPr>
                <w:sz w:val="20"/>
              </w:rPr>
            </w:pPr>
            <w:r>
              <w:rPr>
                <w:sz w:val="20"/>
              </w:rPr>
              <w:t>0.049*</w:t>
            </w:r>
          </w:p>
        </w:tc>
      </w:tr>
      <w:tr w:rsidR="00F2743C" w:rsidTr="00F2743C">
        <w:trPr>
          <w:trHeight w:val="202"/>
        </w:trPr>
        <w:tc>
          <w:tcPr>
            <w:tcW w:w="1445" w:type="dxa"/>
          </w:tcPr>
          <w:p w:rsidR="00F2743C" w:rsidRDefault="00F2743C">
            <w:pPr>
              <w:pStyle w:val="TableParagraph"/>
              <w:spacing w:line="220" w:lineRule="exact"/>
              <w:ind w:left="31"/>
              <w:rPr>
                <w:sz w:val="20"/>
              </w:rPr>
            </w:pPr>
            <w:r>
              <w:rPr>
                <w:sz w:val="20"/>
              </w:rPr>
              <w:t>Height (m)</w:t>
            </w:r>
          </w:p>
        </w:tc>
        <w:tc>
          <w:tcPr>
            <w:tcW w:w="1975" w:type="dxa"/>
          </w:tcPr>
          <w:p w:rsidR="00F2743C" w:rsidRDefault="00F2743C">
            <w:pPr>
              <w:pStyle w:val="TableParagraph"/>
              <w:spacing w:before="4" w:line="228" w:lineRule="exact"/>
              <w:ind w:left="472" w:right="465"/>
              <w:jc w:val="center"/>
              <w:rPr>
                <w:sz w:val="20"/>
              </w:rPr>
            </w:pPr>
            <w:r>
              <w:rPr>
                <w:sz w:val="20"/>
              </w:rPr>
              <w:t>163.40±6.50</w:t>
            </w:r>
          </w:p>
        </w:tc>
        <w:tc>
          <w:tcPr>
            <w:tcW w:w="1980" w:type="dxa"/>
          </w:tcPr>
          <w:p w:rsidR="00F2743C" w:rsidRDefault="00F2743C">
            <w:pPr>
              <w:pStyle w:val="TableParagraph"/>
              <w:spacing w:before="4" w:line="228" w:lineRule="exact"/>
              <w:ind w:left="422" w:right="419"/>
              <w:jc w:val="center"/>
              <w:rPr>
                <w:sz w:val="20"/>
              </w:rPr>
            </w:pPr>
            <w:r>
              <w:rPr>
                <w:sz w:val="20"/>
              </w:rPr>
              <w:t>160.94±7.69</w:t>
            </w:r>
          </w:p>
        </w:tc>
        <w:tc>
          <w:tcPr>
            <w:tcW w:w="1530" w:type="dxa"/>
          </w:tcPr>
          <w:p w:rsidR="00F2743C" w:rsidRDefault="00F2743C">
            <w:pPr>
              <w:pStyle w:val="TableParagraph"/>
              <w:spacing w:line="220" w:lineRule="exact"/>
              <w:ind w:right="899"/>
              <w:jc w:val="right"/>
              <w:rPr>
                <w:sz w:val="20"/>
              </w:rPr>
            </w:pPr>
            <w:r>
              <w:rPr>
                <w:sz w:val="20"/>
              </w:rPr>
              <w:t>0.087</w:t>
            </w:r>
          </w:p>
        </w:tc>
      </w:tr>
      <w:tr w:rsidR="00F2743C" w:rsidTr="00F2743C">
        <w:trPr>
          <w:trHeight w:val="298"/>
        </w:trPr>
        <w:tc>
          <w:tcPr>
            <w:tcW w:w="1445" w:type="dxa"/>
            <w:tcBorders>
              <w:bottom w:val="single" w:sz="4" w:space="0" w:color="000000"/>
            </w:tcBorders>
          </w:tcPr>
          <w:p w:rsidR="00F2743C" w:rsidRDefault="00F2743C">
            <w:pPr>
              <w:pStyle w:val="TableParagraph"/>
              <w:spacing w:line="220" w:lineRule="exact"/>
              <w:ind w:left="31"/>
              <w:rPr>
                <w:sz w:val="20"/>
              </w:rPr>
            </w:pPr>
            <w:r>
              <w:rPr>
                <w:sz w:val="20"/>
              </w:rPr>
              <w:t>BMI Kg/m</w:t>
            </w:r>
            <w:r w:rsidRPr="00F2743C">
              <w:rPr>
                <w:sz w:val="20"/>
                <w:vertAlign w:val="superscript"/>
              </w:rPr>
              <w:t>2</w:t>
            </w:r>
          </w:p>
        </w:tc>
        <w:tc>
          <w:tcPr>
            <w:tcW w:w="1975" w:type="dxa"/>
            <w:tcBorders>
              <w:bottom w:val="single" w:sz="4" w:space="0" w:color="000000"/>
            </w:tcBorders>
          </w:tcPr>
          <w:p w:rsidR="00F2743C" w:rsidRDefault="00F2743C">
            <w:pPr>
              <w:pStyle w:val="TableParagraph"/>
              <w:spacing w:before="61"/>
              <w:ind w:left="472" w:right="465"/>
              <w:jc w:val="center"/>
              <w:rPr>
                <w:sz w:val="20"/>
              </w:rPr>
            </w:pPr>
            <w:r>
              <w:rPr>
                <w:sz w:val="20"/>
              </w:rPr>
              <w:t>23.36±3.44</w:t>
            </w:r>
          </w:p>
        </w:tc>
        <w:tc>
          <w:tcPr>
            <w:tcW w:w="1980" w:type="dxa"/>
            <w:tcBorders>
              <w:bottom w:val="single" w:sz="4" w:space="0" w:color="000000"/>
            </w:tcBorders>
          </w:tcPr>
          <w:p w:rsidR="00F2743C" w:rsidRDefault="00F2743C">
            <w:pPr>
              <w:pStyle w:val="TableParagraph"/>
              <w:spacing w:before="61"/>
              <w:ind w:left="422" w:right="419"/>
              <w:jc w:val="center"/>
              <w:rPr>
                <w:sz w:val="20"/>
              </w:rPr>
            </w:pPr>
            <w:r>
              <w:rPr>
                <w:sz w:val="20"/>
              </w:rPr>
              <w:t>25.47±3.82</w:t>
            </w:r>
          </w:p>
        </w:tc>
        <w:tc>
          <w:tcPr>
            <w:tcW w:w="1530" w:type="dxa"/>
            <w:tcBorders>
              <w:bottom w:val="single" w:sz="4" w:space="0" w:color="000000"/>
            </w:tcBorders>
          </w:tcPr>
          <w:p w:rsidR="00F2743C" w:rsidRDefault="00F2743C">
            <w:pPr>
              <w:pStyle w:val="TableParagraph"/>
              <w:spacing w:line="220" w:lineRule="exact"/>
              <w:ind w:right="841"/>
              <w:jc w:val="right"/>
              <w:rPr>
                <w:sz w:val="20"/>
              </w:rPr>
            </w:pPr>
            <w:r>
              <w:rPr>
                <w:sz w:val="20"/>
              </w:rPr>
              <w:t>&lt;0.01*</w:t>
            </w:r>
          </w:p>
        </w:tc>
      </w:tr>
    </w:tbl>
    <w:p w:rsidR="0036789C" w:rsidRDefault="0036789C">
      <w:pPr>
        <w:pStyle w:val="BodyText"/>
        <w:spacing w:before="4"/>
        <w:rPr>
          <w:sz w:val="11"/>
        </w:rPr>
      </w:pPr>
    </w:p>
    <w:p w:rsidR="0036789C" w:rsidRDefault="00D416F7">
      <w:pPr>
        <w:pStyle w:val="BodyText"/>
        <w:spacing w:before="91"/>
        <w:ind w:left="380" w:right="349"/>
        <w:jc w:val="both"/>
      </w:pPr>
      <w:r>
        <w:t>Table</w:t>
      </w:r>
      <w:r w:rsidR="00B620BB">
        <w:t>-III</w:t>
      </w:r>
      <w:r>
        <w:t xml:space="preserve"> </w:t>
      </w:r>
      <w:r w:rsidR="003A2A36">
        <w:t>shows FVC, FEV</w:t>
      </w:r>
      <w:r w:rsidR="003A2A36" w:rsidRPr="003A2A36">
        <w:rPr>
          <w:vertAlign w:val="subscript"/>
        </w:rPr>
        <w:t>1</w:t>
      </w:r>
      <w:r w:rsidR="003A2A36">
        <w:t>, PEF and FEV</w:t>
      </w:r>
      <w:r w:rsidR="003A2A36" w:rsidRPr="003A2A36">
        <w:rPr>
          <w:vertAlign w:val="subscript"/>
        </w:rPr>
        <w:t>1</w:t>
      </w:r>
      <w:r w:rsidR="003A2A36">
        <w:t>/FVC ratio was estimated between cases and control and significant FEV</w:t>
      </w:r>
      <w:r w:rsidR="003A2A36" w:rsidRPr="003A2A36">
        <w:rPr>
          <w:vertAlign w:val="subscript"/>
        </w:rPr>
        <w:t>1</w:t>
      </w:r>
      <w:r w:rsidR="003A2A36">
        <w:t xml:space="preserve">/FVC ratio was seen.  </w:t>
      </w:r>
    </w:p>
    <w:p w:rsidR="0036789C" w:rsidRDefault="0036789C">
      <w:pPr>
        <w:pStyle w:val="BodyText"/>
        <w:spacing w:before="2"/>
      </w:pPr>
    </w:p>
    <w:p w:rsidR="0036789C" w:rsidRDefault="00D416F7">
      <w:pPr>
        <w:pStyle w:val="BodyText"/>
        <w:ind w:left="380"/>
        <w:jc w:val="both"/>
      </w:pPr>
      <w:r>
        <w:rPr>
          <w:b/>
        </w:rPr>
        <w:t>Table</w:t>
      </w:r>
      <w:r w:rsidR="00B620BB">
        <w:rPr>
          <w:b/>
        </w:rPr>
        <w:t>-III</w:t>
      </w:r>
      <w:r>
        <w:rPr>
          <w:b/>
        </w:rPr>
        <w:t xml:space="preserve">: </w:t>
      </w:r>
      <w:r>
        <w:t>Comparison of pulmonary volume levels in asthmatic cases and controls</w:t>
      </w:r>
    </w:p>
    <w:p w:rsidR="0036789C" w:rsidRDefault="0036789C">
      <w:pPr>
        <w:pStyle w:val="BodyText"/>
        <w:spacing w:before="5"/>
      </w:pP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160"/>
        <w:gridCol w:w="1980"/>
        <w:gridCol w:w="1530"/>
      </w:tblGrid>
      <w:tr w:rsidR="00724B96" w:rsidTr="00D07910">
        <w:trPr>
          <w:trHeight w:val="316"/>
        </w:trPr>
        <w:tc>
          <w:tcPr>
            <w:tcW w:w="1715" w:type="dxa"/>
            <w:tcBorders>
              <w:left w:val="single" w:sz="2" w:space="0" w:color="000000"/>
              <w:right w:val="single" w:sz="2" w:space="0" w:color="000000"/>
            </w:tcBorders>
          </w:tcPr>
          <w:p w:rsidR="00724B96" w:rsidRDefault="00724B96">
            <w:pPr>
              <w:pStyle w:val="TableParagraph"/>
              <w:rPr>
                <w:sz w:val="18"/>
              </w:rPr>
            </w:pPr>
            <w:r>
              <w:rPr>
                <w:b/>
                <w:w w:val="95"/>
                <w:sz w:val="20"/>
              </w:rPr>
              <w:t>Variables</w:t>
            </w:r>
          </w:p>
        </w:tc>
        <w:tc>
          <w:tcPr>
            <w:tcW w:w="2160" w:type="dxa"/>
            <w:tcBorders>
              <w:left w:val="single" w:sz="2" w:space="0" w:color="000000"/>
              <w:right w:val="single" w:sz="2" w:space="0" w:color="000000"/>
            </w:tcBorders>
          </w:tcPr>
          <w:p w:rsidR="00724B96" w:rsidRDefault="00724B96">
            <w:pPr>
              <w:pStyle w:val="TableParagraph"/>
              <w:spacing w:before="41"/>
              <w:ind w:left="661" w:right="657"/>
              <w:jc w:val="center"/>
              <w:rPr>
                <w:b/>
                <w:sz w:val="20"/>
              </w:rPr>
            </w:pPr>
            <w:r>
              <w:rPr>
                <w:b/>
                <w:sz w:val="20"/>
              </w:rPr>
              <w:t>Cases</w:t>
            </w:r>
            <w:r>
              <w:rPr>
                <w:b/>
                <w:sz w:val="20"/>
              </w:rPr>
              <w:br/>
            </w:r>
            <w:proofErr w:type="spellStart"/>
            <w:r>
              <w:rPr>
                <w:b/>
                <w:sz w:val="20"/>
              </w:rPr>
              <w:t>Mean±SD</w:t>
            </w:r>
            <w:proofErr w:type="spellEnd"/>
          </w:p>
        </w:tc>
        <w:tc>
          <w:tcPr>
            <w:tcW w:w="1980" w:type="dxa"/>
            <w:tcBorders>
              <w:left w:val="single" w:sz="2" w:space="0" w:color="000000"/>
              <w:right w:val="single" w:sz="2" w:space="0" w:color="000000"/>
            </w:tcBorders>
          </w:tcPr>
          <w:p w:rsidR="00724B96" w:rsidRDefault="00724B96">
            <w:pPr>
              <w:pStyle w:val="TableParagraph"/>
              <w:spacing w:before="41"/>
              <w:ind w:left="699"/>
              <w:rPr>
                <w:b/>
                <w:sz w:val="20"/>
              </w:rPr>
            </w:pPr>
            <w:r>
              <w:rPr>
                <w:b/>
                <w:sz w:val="20"/>
              </w:rPr>
              <w:t>Controls</w:t>
            </w:r>
            <w:r>
              <w:rPr>
                <w:b/>
                <w:sz w:val="20"/>
              </w:rPr>
              <w:br/>
            </w:r>
            <w:proofErr w:type="spellStart"/>
            <w:r>
              <w:rPr>
                <w:b/>
                <w:sz w:val="20"/>
              </w:rPr>
              <w:t>Mean±SD</w:t>
            </w:r>
            <w:proofErr w:type="spellEnd"/>
          </w:p>
        </w:tc>
        <w:tc>
          <w:tcPr>
            <w:tcW w:w="1530" w:type="dxa"/>
            <w:tcBorders>
              <w:left w:val="single" w:sz="2" w:space="0" w:color="000000"/>
              <w:right w:val="single" w:sz="2" w:space="0" w:color="000000"/>
            </w:tcBorders>
          </w:tcPr>
          <w:p w:rsidR="00724B96" w:rsidRDefault="003A2A36">
            <w:pPr>
              <w:pStyle w:val="TableParagraph"/>
              <w:spacing w:before="41"/>
              <w:ind w:left="306" w:right="301"/>
              <w:jc w:val="center"/>
              <w:rPr>
                <w:b/>
                <w:sz w:val="20"/>
              </w:rPr>
            </w:pPr>
            <w:r>
              <w:rPr>
                <w:b/>
                <w:sz w:val="20"/>
              </w:rPr>
              <w:t>p-value</w:t>
            </w:r>
          </w:p>
        </w:tc>
      </w:tr>
      <w:tr w:rsidR="00724B96" w:rsidTr="00D07910">
        <w:trPr>
          <w:trHeight w:val="311"/>
        </w:trPr>
        <w:tc>
          <w:tcPr>
            <w:tcW w:w="1715"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rPr>
                <w:sz w:val="18"/>
              </w:rPr>
            </w:pPr>
            <w:r>
              <w:rPr>
                <w:b/>
                <w:sz w:val="20"/>
              </w:rPr>
              <w:t>FVC (L)</w:t>
            </w:r>
          </w:p>
        </w:tc>
        <w:tc>
          <w:tcPr>
            <w:tcW w:w="216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6" w:line="216" w:lineRule="exact"/>
              <w:ind w:left="420"/>
              <w:rPr>
                <w:sz w:val="20"/>
              </w:rPr>
            </w:pPr>
            <w:r>
              <w:rPr>
                <w:sz w:val="20"/>
              </w:rPr>
              <w:t>2.24 ± 0.259</w:t>
            </w:r>
          </w:p>
        </w:tc>
        <w:tc>
          <w:tcPr>
            <w:tcW w:w="198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6" w:line="216" w:lineRule="exact"/>
              <w:ind w:left="567"/>
              <w:rPr>
                <w:sz w:val="20"/>
              </w:rPr>
            </w:pPr>
            <w:r>
              <w:rPr>
                <w:sz w:val="20"/>
              </w:rPr>
              <w:t>2.24 ± 0.271</w:t>
            </w:r>
          </w:p>
        </w:tc>
        <w:tc>
          <w:tcPr>
            <w:tcW w:w="153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6" w:line="216" w:lineRule="exact"/>
              <w:ind w:left="306" w:right="300"/>
              <w:jc w:val="center"/>
              <w:rPr>
                <w:sz w:val="20"/>
              </w:rPr>
            </w:pPr>
            <w:r>
              <w:rPr>
                <w:sz w:val="20"/>
              </w:rPr>
              <w:t>0.955</w:t>
            </w:r>
          </w:p>
        </w:tc>
      </w:tr>
      <w:tr w:rsidR="00724B96" w:rsidTr="00D07910">
        <w:trPr>
          <w:trHeight w:val="309"/>
        </w:trPr>
        <w:tc>
          <w:tcPr>
            <w:tcW w:w="1715"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rPr>
                <w:sz w:val="18"/>
              </w:rPr>
            </w:pPr>
            <w:r>
              <w:rPr>
                <w:b/>
                <w:sz w:val="20"/>
              </w:rPr>
              <w:t>FEV</w:t>
            </w:r>
            <w:r>
              <w:rPr>
                <w:b/>
                <w:sz w:val="20"/>
                <w:vertAlign w:val="subscript"/>
              </w:rPr>
              <w:t>1</w:t>
            </w:r>
            <w:r>
              <w:rPr>
                <w:b/>
                <w:sz w:val="20"/>
              </w:rPr>
              <w:t xml:space="preserve"> (L)</w:t>
            </w:r>
          </w:p>
        </w:tc>
        <w:tc>
          <w:tcPr>
            <w:tcW w:w="216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3" w:line="216" w:lineRule="exact"/>
              <w:ind w:left="420"/>
              <w:rPr>
                <w:sz w:val="20"/>
              </w:rPr>
            </w:pPr>
            <w:r>
              <w:rPr>
                <w:sz w:val="20"/>
              </w:rPr>
              <w:t>2.11 ± 0.260</w:t>
            </w:r>
          </w:p>
        </w:tc>
        <w:tc>
          <w:tcPr>
            <w:tcW w:w="198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3" w:line="216" w:lineRule="exact"/>
              <w:ind w:left="567"/>
              <w:rPr>
                <w:sz w:val="20"/>
              </w:rPr>
            </w:pPr>
            <w:r>
              <w:rPr>
                <w:sz w:val="20"/>
              </w:rPr>
              <w:t>2.14 ± 0.274</w:t>
            </w:r>
          </w:p>
        </w:tc>
        <w:tc>
          <w:tcPr>
            <w:tcW w:w="153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3" w:line="216" w:lineRule="exact"/>
              <w:ind w:left="306" w:right="300"/>
              <w:jc w:val="center"/>
              <w:rPr>
                <w:sz w:val="20"/>
              </w:rPr>
            </w:pPr>
            <w:r>
              <w:rPr>
                <w:sz w:val="20"/>
              </w:rPr>
              <w:t>0.528</w:t>
            </w:r>
          </w:p>
        </w:tc>
      </w:tr>
      <w:tr w:rsidR="00724B96" w:rsidTr="00D07910">
        <w:trPr>
          <w:trHeight w:val="311"/>
        </w:trPr>
        <w:tc>
          <w:tcPr>
            <w:tcW w:w="1715"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rPr>
                <w:sz w:val="18"/>
              </w:rPr>
            </w:pPr>
            <w:r>
              <w:rPr>
                <w:b/>
                <w:sz w:val="20"/>
              </w:rPr>
              <w:t>PEF (L)</w:t>
            </w:r>
          </w:p>
        </w:tc>
        <w:tc>
          <w:tcPr>
            <w:tcW w:w="216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6" w:line="216" w:lineRule="exact"/>
              <w:ind w:left="420"/>
              <w:rPr>
                <w:sz w:val="20"/>
              </w:rPr>
            </w:pPr>
            <w:r>
              <w:rPr>
                <w:sz w:val="20"/>
              </w:rPr>
              <w:t>349.1 ± 61.1</w:t>
            </w:r>
          </w:p>
        </w:tc>
        <w:tc>
          <w:tcPr>
            <w:tcW w:w="198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6" w:line="216" w:lineRule="exact"/>
              <w:ind w:left="567"/>
              <w:rPr>
                <w:sz w:val="20"/>
              </w:rPr>
            </w:pPr>
            <w:r>
              <w:rPr>
                <w:sz w:val="20"/>
              </w:rPr>
              <w:t>358.6 ± 60.9</w:t>
            </w:r>
          </w:p>
        </w:tc>
        <w:tc>
          <w:tcPr>
            <w:tcW w:w="1530" w:type="dxa"/>
            <w:tcBorders>
              <w:top w:val="single" w:sz="2" w:space="0" w:color="000000"/>
              <w:left w:val="single" w:sz="2" w:space="0" w:color="000000"/>
              <w:bottom w:val="single" w:sz="2" w:space="0" w:color="000000"/>
              <w:right w:val="single" w:sz="2" w:space="0" w:color="000000"/>
            </w:tcBorders>
          </w:tcPr>
          <w:p w:rsidR="00724B96" w:rsidRDefault="00724B96">
            <w:pPr>
              <w:pStyle w:val="TableParagraph"/>
              <w:spacing w:before="76" w:line="216" w:lineRule="exact"/>
              <w:ind w:left="306" w:right="300"/>
              <w:jc w:val="center"/>
              <w:rPr>
                <w:sz w:val="20"/>
              </w:rPr>
            </w:pPr>
            <w:r>
              <w:rPr>
                <w:sz w:val="20"/>
              </w:rPr>
              <w:t>0.439</w:t>
            </w:r>
          </w:p>
        </w:tc>
      </w:tr>
      <w:tr w:rsidR="0036789C" w:rsidTr="00D07910">
        <w:trPr>
          <w:trHeight w:val="310"/>
        </w:trPr>
        <w:tc>
          <w:tcPr>
            <w:tcW w:w="1715" w:type="dxa"/>
            <w:tcBorders>
              <w:top w:val="single" w:sz="2" w:space="0" w:color="000000"/>
              <w:left w:val="single" w:sz="2" w:space="0" w:color="000000"/>
              <w:right w:val="single" w:sz="2" w:space="0" w:color="000000"/>
            </w:tcBorders>
          </w:tcPr>
          <w:p w:rsidR="0036789C" w:rsidRDefault="00D416F7" w:rsidP="00724B96">
            <w:pPr>
              <w:pStyle w:val="TableParagraph"/>
              <w:spacing w:before="37"/>
              <w:rPr>
                <w:b/>
                <w:sz w:val="20"/>
              </w:rPr>
            </w:pPr>
            <w:r>
              <w:rPr>
                <w:b/>
                <w:sz w:val="20"/>
              </w:rPr>
              <w:t>FEV</w:t>
            </w:r>
            <w:r>
              <w:rPr>
                <w:b/>
                <w:sz w:val="20"/>
                <w:vertAlign w:val="subscript"/>
              </w:rPr>
              <w:t>1</w:t>
            </w:r>
            <w:r>
              <w:rPr>
                <w:b/>
                <w:sz w:val="20"/>
              </w:rPr>
              <w:t>/FVC Ratio</w:t>
            </w:r>
          </w:p>
        </w:tc>
        <w:tc>
          <w:tcPr>
            <w:tcW w:w="2160" w:type="dxa"/>
            <w:tcBorders>
              <w:top w:val="single" w:sz="2" w:space="0" w:color="000000"/>
              <w:left w:val="single" w:sz="2" w:space="0" w:color="000000"/>
              <w:right w:val="single" w:sz="2" w:space="0" w:color="000000"/>
            </w:tcBorders>
          </w:tcPr>
          <w:p w:rsidR="0036789C" w:rsidRDefault="00D416F7">
            <w:pPr>
              <w:pStyle w:val="TableParagraph"/>
              <w:spacing w:before="73" w:line="217" w:lineRule="exact"/>
              <w:ind w:left="471"/>
              <w:rPr>
                <w:sz w:val="20"/>
              </w:rPr>
            </w:pPr>
            <w:r>
              <w:rPr>
                <w:sz w:val="20"/>
              </w:rPr>
              <w:t>0.93 ± 0.01</w:t>
            </w:r>
          </w:p>
        </w:tc>
        <w:tc>
          <w:tcPr>
            <w:tcW w:w="1980" w:type="dxa"/>
            <w:tcBorders>
              <w:top w:val="single" w:sz="2" w:space="0" w:color="000000"/>
              <w:left w:val="single" w:sz="2" w:space="0" w:color="000000"/>
              <w:right w:val="single" w:sz="2" w:space="0" w:color="000000"/>
            </w:tcBorders>
          </w:tcPr>
          <w:p w:rsidR="0036789C" w:rsidRDefault="00D416F7">
            <w:pPr>
              <w:pStyle w:val="TableParagraph"/>
              <w:spacing w:before="73" w:line="217" w:lineRule="exact"/>
              <w:ind w:left="617"/>
              <w:rPr>
                <w:sz w:val="20"/>
              </w:rPr>
            </w:pPr>
            <w:r>
              <w:rPr>
                <w:sz w:val="20"/>
              </w:rPr>
              <w:t>0.95 ± 0.01</w:t>
            </w:r>
          </w:p>
        </w:tc>
        <w:tc>
          <w:tcPr>
            <w:tcW w:w="1530" w:type="dxa"/>
            <w:tcBorders>
              <w:top w:val="single" w:sz="2" w:space="0" w:color="000000"/>
              <w:left w:val="single" w:sz="2" w:space="0" w:color="000000"/>
              <w:right w:val="single" w:sz="2" w:space="0" w:color="000000"/>
            </w:tcBorders>
          </w:tcPr>
          <w:p w:rsidR="0036789C" w:rsidRDefault="00D416F7">
            <w:pPr>
              <w:pStyle w:val="TableParagraph"/>
              <w:spacing w:before="73" w:line="217" w:lineRule="exact"/>
              <w:ind w:left="306" w:right="300"/>
              <w:jc w:val="center"/>
              <w:rPr>
                <w:sz w:val="20"/>
              </w:rPr>
            </w:pPr>
            <w:r>
              <w:rPr>
                <w:sz w:val="20"/>
              </w:rPr>
              <w:t>&lt; 0.01</w:t>
            </w:r>
          </w:p>
        </w:tc>
      </w:tr>
    </w:tbl>
    <w:p w:rsidR="0036789C" w:rsidRDefault="0036789C">
      <w:pPr>
        <w:pStyle w:val="BodyText"/>
        <w:spacing w:before="10"/>
        <w:rPr>
          <w:sz w:val="19"/>
        </w:rPr>
      </w:pPr>
    </w:p>
    <w:p w:rsidR="00AC2221" w:rsidRPr="00015D82" w:rsidRDefault="00AC2221" w:rsidP="00AC2221">
      <w:pPr>
        <w:pStyle w:val="Heading1"/>
        <w:spacing w:line="227" w:lineRule="exact"/>
        <w:ind w:left="0"/>
        <w:rPr>
          <w:bCs w:val="0"/>
        </w:rPr>
      </w:pPr>
      <w:r w:rsidRPr="00015D82">
        <w:rPr>
          <w:bCs w:val="0"/>
        </w:rPr>
        <w:t>DISCUSSION</w:t>
      </w:r>
    </w:p>
    <w:p w:rsidR="00AC2221" w:rsidRDefault="00AC2221" w:rsidP="00AC2221">
      <w:pPr>
        <w:pStyle w:val="Heading1"/>
        <w:spacing w:line="227" w:lineRule="exact"/>
        <w:ind w:left="0"/>
        <w:rPr>
          <w:b w:val="0"/>
          <w:bCs w:val="0"/>
        </w:rPr>
      </w:pPr>
    </w:p>
    <w:p w:rsidR="00AC2221" w:rsidRDefault="00AC2221" w:rsidP="00AC2221">
      <w:pPr>
        <w:pStyle w:val="Heading1"/>
        <w:spacing w:line="227" w:lineRule="exact"/>
        <w:ind w:left="200"/>
        <w:jc w:val="both"/>
        <w:rPr>
          <w:b w:val="0"/>
          <w:bCs w:val="0"/>
        </w:rPr>
      </w:pPr>
      <w:r>
        <w:rPr>
          <w:b w:val="0"/>
          <w:bCs w:val="0"/>
        </w:rPr>
        <w:t xml:space="preserve">Many studies revealed that asthma is more prevalent in females. Parallel to previous study, our study shows that asthma is </w:t>
      </w:r>
      <w:r w:rsidR="00297A1B">
        <w:rPr>
          <w:b w:val="0"/>
          <w:bCs w:val="0"/>
        </w:rPr>
        <w:t>related to age factor and</w:t>
      </w:r>
      <w:r>
        <w:rPr>
          <w:b w:val="0"/>
          <w:bCs w:val="0"/>
        </w:rPr>
        <w:t xml:space="preserve"> asthma</w:t>
      </w:r>
      <w:r w:rsidR="00297A1B">
        <w:rPr>
          <w:b w:val="0"/>
          <w:bCs w:val="0"/>
        </w:rPr>
        <w:t xml:space="preserve"> cases can be higher than average </w:t>
      </w:r>
      <w:r>
        <w:rPr>
          <w:b w:val="0"/>
          <w:bCs w:val="0"/>
        </w:rPr>
        <w:t xml:space="preserve">with advancing age. Current study highlights the strong association of asthma with age. </w:t>
      </w:r>
      <w:r w:rsidR="00CA610B">
        <w:rPr>
          <w:b w:val="0"/>
          <w:bCs w:val="0"/>
        </w:rPr>
        <w:t xml:space="preserve">In symptomatic adolescent females, higher ranges of BMI raises the risk of developing asthma, but not in males. As a result, </w:t>
      </w:r>
      <w:r>
        <w:rPr>
          <w:b w:val="0"/>
          <w:bCs w:val="0"/>
        </w:rPr>
        <w:t xml:space="preserve">gender is </w:t>
      </w:r>
      <w:r w:rsidR="00CA610B">
        <w:rPr>
          <w:b w:val="0"/>
          <w:bCs w:val="0"/>
        </w:rPr>
        <w:t>a major determinant</w:t>
      </w:r>
      <w:r>
        <w:rPr>
          <w:b w:val="0"/>
          <w:bCs w:val="0"/>
        </w:rPr>
        <w:t xml:space="preserve"> of BMI related asthma risk. Due to equal number of males and females involved, the present study can't conclude this gender based effect of BMI. Asthma is frequently reported in overweight and obese individual than the skinny ones after balancing the smoking, education and physical activity components. In the present study, all age groups of asthmatic </w:t>
      </w:r>
      <w:proofErr w:type="gramStart"/>
      <w:r>
        <w:rPr>
          <w:b w:val="0"/>
          <w:bCs w:val="0"/>
        </w:rPr>
        <w:t>patients</w:t>
      </w:r>
      <w:proofErr w:type="gramEnd"/>
      <w:r>
        <w:rPr>
          <w:b w:val="0"/>
          <w:bCs w:val="0"/>
        </w:rPr>
        <w:t xml:space="preserve"> exhibit </w:t>
      </w:r>
      <w:r w:rsidR="00555539">
        <w:rPr>
          <w:b w:val="0"/>
          <w:bCs w:val="0"/>
        </w:rPr>
        <w:t>decreased</w:t>
      </w:r>
      <w:r>
        <w:rPr>
          <w:b w:val="0"/>
          <w:bCs w:val="0"/>
        </w:rPr>
        <w:t xml:space="preserve"> FVC and FEV1 values, whereas no such difference in FVC and FEV1 values was noted in </w:t>
      </w:r>
      <w:r w:rsidR="00555539">
        <w:rPr>
          <w:b w:val="0"/>
          <w:bCs w:val="0"/>
        </w:rPr>
        <w:t>controls</w:t>
      </w:r>
      <w:r>
        <w:rPr>
          <w:b w:val="0"/>
          <w:bCs w:val="0"/>
        </w:rPr>
        <w:t xml:space="preserve">. This result proves that with increasing age, asthma is more </w:t>
      </w:r>
      <w:r w:rsidR="00555539">
        <w:rPr>
          <w:b w:val="0"/>
          <w:bCs w:val="0"/>
        </w:rPr>
        <w:t>favorable</w:t>
      </w:r>
      <w:r>
        <w:rPr>
          <w:b w:val="0"/>
          <w:bCs w:val="0"/>
        </w:rPr>
        <w:t xml:space="preserve"> to cause the irreversible damage of fibrotic lung tissues causing decrease in lung functioning. Our results are in line with </w:t>
      </w:r>
      <w:proofErr w:type="spellStart"/>
      <w:r>
        <w:rPr>
          <w:b w:val="0"/>
          <w:bCs w:val="0"/>
        </w:rPr>
        <w:t>Madan</w:t>
      </w:r>
      <w:proofErr w:type="spellEnd"/>
      <w:r>
        <w:rPr>
          <w:b w:val="0"/>
          <w:bCs w:val="0"/>
        </w:rPr>
        <w:t xml:space="preserve"> study that observed decreased FEV1 values in individuals having asthma. The study of Fletcher reported greater mean adjusted decline in FEV1 of 22 ml per year in men suffering from asthma than those without it. The studies of </w:t>
      </w:r>
      <w:proofErr w:type="spellStart"/>
      <w:r>
        <w:rPr>
          <w:b w:val="0"/>
          <w:bCs w:val="0"/>
        </w:rPr>
        <w:t>Ulrik</w:t>
      </w:r>
      <w:proofErr w:type="spellEnd"/>
      <w:r>
        <w:rPr>
          <w:b w:val="0"/>
          <w:bCs w:val="0"/>
        </w:rPr>
        <w:t xml:space="preserve"> et al and Lange et al supported that asthma has a significant impact on decline in lung functioning. </w:t>
      </w:r>
      <w:r w:rsidR="00015D82">
        <w:rPr>
          <w:b w:val="0"/>
          <w:bCs w:val="0"/>
        </w:rPr>
        <w:t xml:space="preserve">Reduced </w:t>
      </w:r>
      <w:r>
        <w:rPr>
          <w:b w:val="0"/>
          <w:bCs w:val="0"/>
        </w:rPr>
        <w:t xml:space="preserve">FEV1 values </w:t>
      </w:r>
      <w:r w:rsidR="00015D82">
        <w:rPr>
          <w:b w:val="0"/>
          <w:bCs w:val="0"/>
        </w:rPr>
        <w:t xml:space="preserve">were reported by </w:t>
      </w:r>
      <w:r w:rsidR="00015D82">
        <w:rPr>
          <w:b w:val="0"/>
          <w:bCs w:val="0"/>
        </w:rPr>
        <w:t xml:space="preserve">Burrows et al </w:t>
      </w:r>
      <w:r w:rsidR="00015D82">
        <w:rPr>
          <w:b w:val="0"/>
          <w:bCs w:val="0"/>
        </w:rPr>
        <w:t xml:space="preserve">in subjects of </w:t>
      </w:r>
      <w:proofErr w:type="spellStart"/>
      <w:r w:rsidR="00015D82">
        <w:rPr>
          <w:b w:val="0"/>
          <w:bCs w:val="0"/>
        </w:rPr>
        <w:t>asthama</w:t>
      </w:r>
      <w:proofErr w:type="spellEnd"/>
      <w:r w:rsidR="00015D82">
        <w:rPr>
          <w:b w:val="0"/>
          <w:bCs w:val="0"/>
        </w:rPr>
        <w:t xml:space="preserve"> with </w:t>
      </w:r>
      <w:r w:rsidR="00015D82">
        <w:rPr>
          <w:b w:val="0"/>
          <w:bCs w:val="0"/>
        </w:rPr>
        <w:t>an annual decline of 80.1 ml</w:t>
      </w:r>
      <w:r w:rsidR="00015D82">
        <w:rPr>
          <w:b w:val="0"/>
          <w:bCs w:val="0"/>
        </w:rPr>
        <w:t xml:space="preserve"> [27].</w:t>
      </w:r>
      <w:r>
        <w:rPr>
          <w:b w:val="0"/>
          <w:bCs w:val="0"/>
        </w:rPr>
        <w:t xml:space="preserve"> </w:t>
      </w:r>
      <w:bookmarkStart w:id="0" w:name="_GoBack"/>
      <w:bookmarkEnd w:id="0"/>
      <w:r>
        <w:rPr>
          <w:b w:val="0"/>
          <w:bCs w:val="0"/>
        </w:rPr>
        <w:t xml:space="preserve">Some previous studies confirm an increase in mortality rate in asthmatic subjects due to reduced </w:t>
      </w:r>
      <w:proofErr w:type="spellStart"/>
      <w:r>
        <w:rPr>
          <w:b w:val="0"/>
          <w:bCs w:val="0"/>
        </w:rPr>
        <w:t>ventilatoy</w:t>
      </w:r>
      <w:proofErr w:type="spellEnd"/>
      <w:r>
        <w:rPr>
          <w:b w:val="0"/>
          <w:bCs w:val="0"/>
        </w:rPr>
        <w:t xml:space="preserve"> function. The current study reported the mean values and comparison of FVC values of male and female patients and controls. In patients FVC values decrease with increasing age. In controls there is no decrease in FVC values with increasing age. Our results </w:t>
      </w:r>
      <w:proofErr w:type="spellStart"/>
      <w:r>
        <w:rPr>
          <w:b w:val="0"/>
          <w:bCs w:val="0"/>
        </w:rPr>
        <w:t>favour</w:t>
      </w:r>
      <w:proofErr w:type="spellEnd"/>
      <w:r>
        <w:rPr>
          <w:b w:val="0"/>
          <w:bCs w:val="0"/>
        </w:rPr>
        <w:t xml:space="preserve"> </w:t>
      </w:r>
      <w:proofErr w:type="spellStart"/>
      <w:r>
        <w:rPr>
          <w:b w:val="0"/>
          <w:bCs w:val="0"/>
        </w:rPr>
        <w:t>Madan</w:t>
      </w:r>
      <w:proofErr w:type="spellEnd"/>
      <w:r>
        <w:rPr>
          <w:b w:val="0"/>
          <w:bCs w:val="0"/>
        </w:rPr>
        <w:t xml:space="preserve"> Study. The </w:t>
      </w:r>
      <w:r w:rsidR="00532FDF">
        <w:rPr>
          <w:b w:val="0"/>
          <w:bCs w:val="0"/>
        </w:rPr>
        <w:t xml:space="preserve">findings of </w:t>
      </w:r>
      <w:r>
        <w:rPr>
          <w:b w:val="0"/>
          <w:bCs w:val="0"/>
        </w:rPr>
        <w:t xml:space="preserve">this study </w:t>
      </w:r>
      <w:r w:rsidR="00532FDF">
        <w:rPr>
          <w:b w:val="0"/>
          <w:bCs w:val="0"/>
        </w:rPr>
        <w:t xml:space="preserve">are useful </w:t>
      </w:r>
      <w:r>
        <w:rPr>
          <w:b w:val="0"/>
          <w:bCs w:val="0"/>
        </w:rPr>
        <w:t>in</w:t>
      </w:r>
      <w:r w:rsidR="00532FDF">
        <w:rPr>
          <w:b w:val="0"/>
          <w:bCs w:val="0"/>
        </w:rPr>
        <w:t xml:space="preserve"> the</w:t>
      </w:r>
      <w:r>
        <w:rPr>
          <w:b w:val="0"/>
          <w:bCs w:val="0"/>
        </w:rPr>
        <w:t xml:space="preserve"> treatment of asthma.</w:t>
      </w:r>
    </w:p>
    <w:p w:rsidR="00AC2221" w:rsidRDefault="00AC2221" w:rsidP="00AC2221">
      <w:pPr>
        <w:pStyle w:val="Heading1"/>
        <w:spacing w:line="227" w:lineRule="exact"/>
        <w:ind w:left="200"/>
        <w:jc w:val="both"/>
        <w:rPr>
          <w:b w:val="0"/>
          <w:bCs w:val="0"/>
        </w:rPr>
      </w:pPr>
    </w:p>
    <w:p w:rsidR="00AC2221" w:rsidRPr="00CA65B9" w:rsidRDefault="00AC2221" w:rsidP="00AC2221">
      <w:pPr>
        <w:pStyle w:val="Heading1"/>
        <w:spacing w:line="227" w:lineRule="exact"/>
        <w:ind w:left="200"/>
        <w:jc w:val="both"/>
        <w:rPr>
          <w:bCs w:val="0"/>
        </w:rPr>
      </w:pPr>
      <w:r w:rsidRPr="00CA65B9">
        <w:rPr>
          <w:bCs w:val="0"/>
        </w:rPr>
        <w:t>CONCLUSION</w:t>
      </w:r>
    </w:p>
    <w:p w:rsidR="00AC2221" w:rsidRDefault="00AC2221" w:rsidP="00AC2221">
      <w:pPr>
        <w:pStyle w:val="Heading1"/>
        <w:spacing w:line="227" w:lineRule="exact"/>
        <w:ind w:left="200"/>
        <w:jc w:val="both"/>
        <w:rPr>
          <w:b w:val="0"/>
          <w:bCs w:val="0"/>
        </w:rPr>
      </w:pPr>
    </w:p>
    <w:p w:rsidR="00AC2221" w:rsidRDefault="00AC2221" w:rsidP="00AC2221">
      <w:pPr>
        <w:pStyle w:val="Heading1"/>
        <w:spacing w:line="227" w:lineRule="exact"/>
        <w:ind w:left="200"/>
        <w:jc w:val="both"/>
        <w:rPr>
          <w:b w:val="0"/>
          <w:bCs w:val="0"/>
        </w:rPr>
      </w:pPr>
      <w:r>
        <w:rPr>
          <w:b w:val="0"/>
          <w:bCs w:val="0"/>
        </w:rPr>
        <w:t xml:space="preserve">The present study concluded that asthmatic patients show lower values of lung functioning test compared to that of controls/healthy subjects of same age. The </w:t>
      </w:r>
      <w:r w:rsidR="00555539">
        <w:rPr>
          <w:b w:val="0"/>
          <w:bCs w:val="0"/>
        </w:rPr>
        <w:t>awareness</w:t>
      </w:r>
      <w:r>
        <w:rPr>
          <w:b w:val="0"/>
          <w:bCs w:val="0"/>
        </w:rPr>
        <w:t xml:space="preserve"> of this study will be supportive in treatment of asthma in different age groups.</w:t>
      </w:r>
    </w:p>
    <w:p w:rsidR="00AC2221" w:rsidRDefault="00AC2221">
      <w:pPr>
        <w:spacing w:before="85" w:line="228" w:lineRule="exact"/>
        <w:ind w:left="380"/>
        <w:rPr>
          <w:b/>
          <w:color w:val="0D0D0D"/>
          <w:sz w:val="20"/>
        </w:rPr>
      </w:pPr>
    </w:p>
    <w:p w:rsidR="0036789C" w:rsidRDefault="00D416F7">
      <w:pPr>
        <w:spacing w:before="85" w:line="228" w:lineRule="exact"/>
        <w:ind w:left="380"/>
        <w:rPr>
          <w:b/>
          <w:sz w:val="20"/>
        </w:rPr>
      </w:pPr>
      <w:r>
        <w:rPr>
          <w:b/>
          <w:color w:val="0D0D0D"/>
          <w:sz w:val="20"/>
        </w:rPr>
        <w:t>Consent for Publication</w:t>
      </w:r>
    </w:p>
    <w:p w:rsidR="0036789C" w:rsidRDefault="00D416F7">
      <w:pPr>
        <w:pStyle w:val="BodyText"/>
        <w:spacing w:line="228" w:lineRule="exact"/>
        <w:ind w:left="380"/>
      </w:pPr>
      <w:r>
        <w:rPr>
          <w:color w:val="0D0D0D"/>
        </w:rPr>
        <w:t>Not applicable.</w:t>
      </w:r>
    </w:p>
    <w:p w:rsidR="0036789C" w:rsidRDefault="0036789C">
      <w:pPr>
        <w:pStyle w:val="BodyText"/>
        <w:spacing w:before="3"/>
      </w:pPr>
    </w:p>
    <w:p w:rsidR="0036789C" w:rsidRDefault="00D416F7">
      <w:pPr>
        <w:pStyle w:val="Heading1"/>
        <w:spacing w:before="1"/>
      </w:pPr>
      <w:r>
        <w:t>Funding</w:t>
      </w:r>
    </w:p>
    <w:p w:rsidR="0036789C" w:rsidRDefault="00D416F7">
      <w:pPr>
        <w:pStyle w:val="BodyText"/>
        <w:spacing w:line="228" w:lineRule="exact"/>
        <w:ind w:left="380"/>
      </w:pPr>
      <w:proofErr w:type="gramStart"/>
      <w:r>
        <w:rPr>
          <w:color w:val="0D0D0D"/>
        </w:rPr>
        <w:t>None.</w:t>
      </w:r>
      <w:proofErr w:type="gramEnd"/>
    </w:p>
    <w:p w:rsidR="0036789C" w:rsidRDefault="0036789C">
      <w:pPr>
        <w:pStyle w:val="BodyText"/>
        <w:spacing w:before="5"/>
      </w:pPr>
    </w:p>
    <w:p w:rsidR="0036789C" w:rsidRDefault="00D416F7">
      <w:pPr>
        <w:pStyle w:val="Heading1"/>
      </w:pPr>
      <w:r>
        <w:t>Conflict of Interest</w:t>
      </w:r>
    </w:p>
    <w:p w:rsidR="0036789C" w:rsidRDefault="00D416F7">
      <w:pPr>
        <w:pStyle w:val="BodyText"/>
        <w:spacing w:line="228" w:lineRule="exact"/>
        <w:ind w:left="380"/>
      </w:pPr>
      <w:r>
        <w:t>None</w:t>
      </w:r>
    </w:p>
    <w:p w:rsidR="0036789C" w:rsidRDefault="0036789C">
      <w:pPr>
        <w:pStyle w:val="BodyText"/>
        <w:spacing w:before="3"/>
      </w:pPr>
    </w:p>
    <w:p w:rsidR="0036789C" w:rsidRDefault="00D416F7">
      <w:pPr>
        <w:pStyle w:val="Heading1"/>
      </w:pPr>
      <w:r>
        <w:t>Acknowledgements</w:t>
      </w:r>
    </w:p>
    <w:p w:rsidR="0036789C" w:rsidRDefault="00D416F7">
      <w:pPr>
        <w:pStyle w:val="BodyText"/>
        <w:ind w:left="380" w:right="358"/>
      </w:pPr>
      <w:r>
        <w:t xml:space="preserve">We are greatly thankful to Major (R) </w:t>
      </w:r>
      <w:proofErr w:type="spellStart"/>
      <w:r>
        <w:t>Liaquat</w:t>
      </w:r>
      <w:proofErr w:type="spellEnd"/>
      <w:r>
        <w:t xml:space="preserve"> Ali and Prof. Dr. </w:t>
      </w:r>
      <w:proofErr w:type="spellStart"/>
      <w:r>
        <w:t>Sikandar</w:t>
      </w:r>
      <w:proofErr w:type="spellEnd"/>
      <w:r>
        <w:t xml:space="preserve"> Ali Sheikh for their continuous support throughout this project.</w:t>
      </w:r>
    </w:p>
    <w:p w:rsidR="0036789C" w:rsidRDefault="0036789C">
      <w:pPr>
        <w:pStyle w:val="BodyText"/>
        <w:spacing w:before="4"/>
      </w:pPr>
    </w:p>
    <w:p w:rsidR="0036789C" w:rsidRDefault="00D416F7">
      <w:pPr>
        <w:pStyle w:val="Heading1"/>
        <w:spacing w:line="229" w:lineRule="exact"/>
      </w:pPr>
      <w:r>
        <w:t>REFERENCE</w:t>
      </w:r>
    </w:p>
    <w:p w:rsidR="0036789C" w:rsidRDefault="00D416F7">
      <w:pPr>
        <w:pStyle w:val="ListParagraph"/>
        <w:numPr>
          <w:ilvl w:val="1"/>
          <w:numId w:val="1"/>
        </w:numPr>
        <w:tabs>
          <w:tab w:val="left" w:pos="1101"/>
        </w:tabs>
        <w:ind w:right="340"/>
        <w:jc w:val="both"/>
        <w:rPr>
          <w:sz w:val="18"/>
        </w:rPr>
      </w:pPr>
      <w:proofErr w:type="spellStart"/>
      <w:r>
        <w:rPr>
          <w:sz w:val="18"/>
        </w:rPr>
        <w:t>Akinbami</w:t>
      </w:r>
      <w:proofErr w:type="spellEnd"/>
      <w:r>
        <w:rPr>
          <w:sz w:val="18"/>
        </w:rPr>
        <w:t>, O. J., Moorman, J. E., &amp; Liu, X. Asthma prevalence, health care use, and mortality: United States, 2005-2009. US Department of Health and Human Services, Centers for Disease Control and Prevention, National Center for Health Statistics</w:t>
      </w:r>
      <w:r>
        <w:rPr>
          <w:spacing w:val="-1"/>
          <w:sz w:val="18"/>
        </w:rPr>
        <w:t xml:space="preserve"> </w:t>
      </w:r>
      <w:r>
        <w:rPr>
          <w:sz w:val="18"/>
        </w:rPr>
        <w:t>2011.</w:t>
      </w:r>
    </w:p>
    <w:p w:rsidR="0036789C" w:rsidRDefault="00D416F7">
      <w:pPr>
        <w:pStyle w:val="ListParagraph"/>
        <w:numPr>
          <w:ilvl w:val="1"/>
          <w:numId w:val="1"/>
        </w:numPr>
        <w:tabs>
          <w:tab w:val="left" w:pos="1101"/>
        </w:tabs>
        <w:ind w:right="339"/>
        <w:jc w:val="both"/>
        <w:rPr>
          <w:sz w:val="18"/>
        </w:rPr>
      </w:pPr>
      <w:proofErr w:type="spellStart"/>
      <w:r>
        <w:rPr>
          <w:sz w:val="18"/>
        </w:rPr>
        <w:t>Bousquet</w:t>
      </w:r>
      <w:proofErr w:type="spellEnd"/>
      <w:r>
        <w:rPr>
          <w:sz w:val="18"/>
        </w:rPr>
        <w:t xml:space="preserve">, J., </w:t>
      </w:r>
      <w:proofErr w:type="spellStart"/>
      <w:r>
        <w:rPr>
          <w:sz w:val="18"/>
        </w:rPr>
        <w:t>Mantzouranis</w:t>
      </w:r>
      <w:proofErr w:type="spellEnd"/>
      <w:r>
        <w:rPr>
          <w:sz w:val="18"/>
        </w:rPr>
        <w:t xml:space="preserve">, E., Cruz, A. A., </w:t>
      </w:r>
      <w:proofErr w:type="spellStart"/>
      <w:r>
        <w:rPr>
          <w:sz w:val="18"/>
        </w:rPr>
        <w:t>Aït-Khaled</w:t>
      </w:r>
      <w:proofErr w:type="spellEnd"/>
      <w:r>
        <w:rPr>
          <w:sz w:val="18"/>
        </w:rPr>
        <w:t xml:space="preserve">, N., </w:t>
      </w:r>
      <w:proofErr w:type="spellStart"/>
      <w:r>
        <w:rPr>
          <w:sz w:val="18"/>
        </w:rPr>
        <w:t>Baena-Cagnani</w:t>
      </w:r>
      <w:proofErr w:type="spellEnd"/>
      <w:r>
        <w:rPr>
          <w:sz w:val="18"/>
        </w:rPr>
        <w:t xml:space="preserve">, C. E., </w:t>
      </w:r>
      <w:proofErr w:type="spellStart"/>
      <w:proofErr w:type="gramStart"/>
      <w:r>
        <w:rPr>
          <w:sz w:val="18"/>
        </w:rPr>
        <w:t>Bleecker</w:t>
      </w:r>
      <w:proofErr w:type="spellEnd"/>
      <w:proofErr w:type="gramEnd"/>
      <w:r>
        <w:rPr>
          <w:sz w:val="18"/>
        </w:rPr>
        <w:t xml:space="preserve">, </w:t>
      </w:r>
      <w:r>
        <w:rPr>
          <w:i/>
          <w:sz w:val="18"/>
        </w:rPr>
        <w:t xml:space="preserve">et al </w:t>
      </w:r>
      <w:r>
        <w:rPr>
          <w:sz w:val="18"/>
        </w:rPr>
        <w:t>Uniform definition of asthma severity, control, and exacerbations: document presented for the World Health Organization Consultation on Severe Asthma. Journal of Allergy and Clinical Immunology 2010; 126(5):</w:t>
      </w:r>
      <w:r>
        <w:rPr>
          <w:spacing w:val="-3"/>
          <w:sz w:val="18"/>
        </w:rPr>
        <w:t xml:space="preserve"> </w:t>
      </w:r>
      <w:r>
        <w:rPr>
          <w:sz w:val="18"/>
        </w:rPr>
        <w:t>926-938.</w:t>
      </w:r>
    </w:p>
    <w:p w:rsidR="0036789C" w:rsidRDefault="00D416F7">
      <w:pPr>
        <w:pStyle w:val="ListParagraph"/>
        <w:numPr>
          <w:ilvl w:val="1"/>
          <w:numId w:val="1"/>
        </w:numPr>
        <w:tabs>
          <w:tab w:val="left" w:pos="1101"/>
        </w:tabs>
        <w:jc w:val="both"/>
        <w:rPr>
          <w:sz w:val="18"/>
        </w:rPr>
      </w:pPr>
      <w:r>
        <w:rPr>
          <w:sz w:val="18"/>
        </w:rPr>
        <w:t xml:space="preserve">Paul G, </w:t>
      </w:r>
      <w:proofErr w:type="spellStart"/>
      <w:r>
        <w:rPr>
          <w:sz w:val="18"/>
        </w:rPr>
        <w:t>Brehm</w:t>
      </w:r>
      <w:proofErr w:type="spellEnd"/>
      <w:r>
        <w:rPr>
          <w:sz w:val="18"/>
        </w:rPr>
        <w:t xml:space="preserve"> JM, Alcorn JF, Holguín F, </w:t>
      </w:r>
      <w:proofErr w:type="spellStart"/>
      <w:r>
        <w:rPr>
          <w:sz w:val="18"/>
        </w:rPr>
        <w:t>Aujla</w:t>
      </w:r>
      <w:proofErr w:type="spellEnd"/>
      <w:r>
        <w:rPr>
          <w:sz w:val="18"/>
        </w:rPr>
        <w:t xml:space="preserve"> SJ, </w:t>
      </w:r>
      <w:proofErr w:type="spellStart"/>
      <w:r>
        <w:rPr>
          <w:sz w:val="18"/>
        </w:rPr>
        <w:t>Celedón</w:t>
      </w:r>
      <w:proofErr w:type="spellEnd"/>
      <w:r>
        <w:rPr>
          <w:sz w:val="18"/>
        </w:rPr>
        <w:t xml:space="preserve"> JC. Vitamin D and asthma. American journal of </w:t>
      </w:r>
      <w:proofErr w:type="gramStart"/>
      <w:r>
        <w:rPr>
          <w:sz w:val="18"/>
        </w:rPr>
        <w:t>respiratory  and</w:t>
      </w:r>
      <w:proofErr w:type="gramEnd"/>
      <w:r>
        <w:rPr>
          <w:sz w:val="18"/>
        </w:rPr>
        <w:t xml:space="preserve"> critical care medicine 2012; 185(2): 124-32.</w:t>
      </w:r>
    </w:p>
    <w:p w:rsidR="0036789C" w:rsidRDefault="00D416F7">
      <w:pPr>
        <w:pStyle w:val="ListParagraph"/>
        <w:numPr>
          <w:ilvl w:val="1"/>
          <w:numId w:val="1"/>
        </w:numPr>
        <w:tabs>
          <w:tab w:val="left" w:pos="1101"/>
        </w:tabs>
        <w:jc w:val="both"/>
        <w:rPr>
          <w:sz w:val="18"/>
        </w:rPr>
      </w:pPr>
      <w:r>
        <w:rPr>
          <w:sz w:val="18"/>
        </w:rPr>
        <w:t xml:space="preserve">American Thoracic Society, 1994. Standardization of </w:t>
      </w:r>
      <w:proofErr w:type="spellStart"/>
      <w:r>
        <w:rPr>
          <w:sz w:val="18"/>
        </w:rPr>
        <w:t>Spirometry</w:t>
      </w:r>
      <w:proofErr w:type="spellEnd"/>
      <w:r>
        <w:rPr>
          <w:sz w:val="18"/>
        </w:rPr>
        <w:t xml:space="preserve">. Updated: American Review of Respiratory Critical Care Medicine 1995; 152: 1107- 1136. </w:t>
      </w:r>
      <w:proofErr w:type="spellStart"/>
      <w:proofErr w:type="gramStart"/>
      <w:r>
        <w:rPr>
          <w:sz w:val="18"/>
        </w:rPr>
        <w:t>doi</w:t>
      </w:r>
      <w:proofErr w:type="spellEnd"/>
      <w:proofErr w:type="gramEnd"/>
      <w:r>
        <w:rPr>
          <w:sz w:val="18"/>
        </w:rPr>
        <w:t>:</w:t>
      </w:r>
      <w:r>
        <w:rPr>
          <w:spacing w:val="-7"/>
          <w:sz w:val="18"/>
        </w:rPr>
        <w:t xml:space="preserve"> </w:t>
      </w:r>
      <w:r>
        <w:rPr>
          <w:sz w:val="18"/>
        </w:rPr>
        <w:t>10.1164/ajrccm.152.3.7663792.</w:t>
      </w:r>
    </w:p>
    <w:p w:rsidR="0036789C" w:rsidRDefault="00D416F7">
      <w:pPr>
        <w:pStyle w:val="ListParagraph"/>
        <w:numPr>
          <w:ilvl w:val="1"/>
          <w:numId w:val="1"/>
        </w:numPr>
        <w:tabs>
          <w:tab w:val="left" w:pos="1101"/>
        </w:tabs>
        <w:jc w:val="both"/>
        <w:rPr>
          <w:sz w:val="18"/>
        </w:rPr>
      </w:pPr>
      <w:r>
        <w:rPr>
          <w:sz w:val="18"/>
        </w:rPr>
        <w:t xml:space="preserve">National Asthma Education and Prevention Program Expert panel report: guidelines for the diagnosis and management of asthma update on selected topics—2002, </w:t>
      </w:r>
      <w:r>
        <w:rPr>
          <w:i/>
          <w:sz w:val="18"/>
        </w:rPr>
        <w:t xml:space="preserve">Allergy </w:t>
      </w:r>
      <w:proofErr w:type="spellStart"/>
      <w:r>
        <w:rPr>
          <w:i/>
          <w:sz w:val="18"/>
        </w:rPr>
        <w:t>Clin</w:t>
      </w:r>
      <w:proofErr w:type="spellEnd"/>
      <w:r>
        <w:rPr>
          <w:i/>
          <w:sz w:val="18"/>
        </w:rPr>
        <w:t xml:space="preserve"> </w:t>
      </w:r>
      <w:proofErr w:type="spellStart"/>
      <w:r>
        <w:rPr>
          <w:i/>
          <w:sz w:val="18"/>
        </w:rPr>
        <w:t>Immunol</w:t>
      </w:r>
      <w:proofErr w:type="spellEnd"/>
      <w:r>
        <w:rPr>
          <w:i/>
          <w:sz w:val="18"/>
        </w:rPr>
        <w:t xml:space="preserve"> </w:t>
      </w:r>
      <w:r>
        <w:rPr>
          <w:sz w:val="18"/>
        </w:rPr>
        <w:t>2002; 110(5):</w:t>
      </w:r>
      <w:r>
        <w:rPr>
          <w:spacing w:val="-7"/>
          <w:sz w:val="18"/>
        </w:rPr>
        <w:t xml:space="preserve"> </w:t>
      </w:r>
      <w:r>
        <w:rPr>
          <w:sz w:val="18"/>
        </w:rPr>
        <w:t>141-219).</w:t>
      </w:r>
    </w:p>
    <w:p w:rsidR="0036789C" w:rsidRDefault="00D416F7">
      <w:pPr>
        <w:pStyle w:val="ListParagraph"/>
        <w:numPr>
          <w:ilvl w:val="1"/>
          <w:numId w:val="1"/>
        </w:numPr>
        <w:tabs>
          <w:tab w:val="left" w:pos="1101"/>
        </w:tabs>
        <w:ind w:right="341"/>
        <w:jc w:val="both"/>
        <w:rPr>
          <w:sz w:val="18"/>
        </w:rPr>
      </w:pPr>
      <w:r>
        <w:rPr>
          <w:sz w:val="18"/>
        </w:rPr>
        <w:t>National Asthma Education, Prevention Program (National Heart, Lung, Blood Institute). Expert panel report: guidelines for the diagnosis and management of asthma: update on selected topics, 2002. US Department of Health and Human Services, Public Health Service, National Institutes of Health, National Heart, Lung, and Blood Institute, National Asthma Education and Prevention Program;</w:t>
      </w:r>
      <w:r>
        <w:rPr>
          <w:spacing w:val="-2"/>
          <w:sz w:val="18"/>
        </w:rPr>
        <w:t xml:space="preserve"> </w:t>
      </w:r>
      <w:r>
        <w:rPr>
          <w:sz w:val="18"/>
        </w:rPr>
        <w:t>2003.</w:t>
      </w:r>
    </w:p>
    <w:p w:rsidR="0036789C" w:rsidRDefault="00D416F7">
      <w:pPr>
        <w:pStyle w:val="ListParagraph"/>
        <w:numPr>
          <w:ilvl w:val="1"/>
          <w:numId w:val="1"/>
        </w:numPr>
        <w:tabs>
          <w:tab w:val="left" w:pos="1101"/>
        </w:tabs>
        <w:spacing w:line="242" w:lineRule="auto"/>
        <w:ind w:right="341"/>
        <w:jc w:val="both"/>
        <w:rPr>
          <w:sz w:val="18"/>
        </w:rPr>
      </w:pPr>
      <w:r>
        <w:rPr>
          <w:sz w:val="18"/>
        </w:rPr>
        <w:t>National Asthma Education and Prevention Program. Guidelines for the diagnosis and management of asthma: Expert Panel report 2. Bethesda, Md.: National Heart, Lung, and Blood Institute, July 1997. (NIH publication no.</w:t>
      </w:r>
      <w:r>
        <w:rPr>
          <w:spacing w:val="-13"/>
          <w:sz w:val="18"/>
        </w:rPr>
        <w:t xml:space="preserve"> </w:t>
      </w:r>
      <w:r>
        <w:rPr>
          <w:sz w:val="18"/>
        </w:rPr>
        <w:t>97-4051.)</w:t>
      </w:r>
    </w:p>
    <w:p w:rsidR="0036789C" w:rsidRDefault="00D416F7">
      <w:pPr>
        <w:pStyle w:val="ListParagraph"/>
        <w:numPr>
          <w:ilvl w:val="1"/>
          <w:numId w:val="1"/>
        </w:numPr>
        <w:tabs>
          <w:tab w:val="left" w:pos="1101"/>
        </w:tabs>
        <w:ind w:right="341"/>
        <w:jc w:val="both"/>
        <w:rPr>
          <w:sz w:val="18"/>
        </w:rPr>
      </w:pPr>
      <w:r>
        <w:rPr>
          <w:sz w:val="18"/>
        </w:rPr>
        <w:t>National Asthma Education, Prevention Program (National Heart, &amp; Blood Institute) Second Expert Panel on the Management of Asthma. (1997). Expert Panel report 2: guidelines for the diagnosis and management of asthma (No. 97). DIANE</w:t>
      </w:r>
      <w:r>
        <w:rPr>
          <w:spacing w:val="-1"/>
          <w:sz w:val="18"/>
        </w:rPr>
        <w:t xml:space="preserve"> </w:t>
      </w:r>
      <w:r>
        <w:rPr>
          <w:sz w:val="18"/>
        </w:rPr>
        <w:t>Publishing.</w:t>
      </w:r>
    </w:p>
    <w:p w:rsidR="0036789C" w:rsidRDefault="00D416F7">
      <w:pPr>
        <w:pStyle w:val="ListParagraph"/>
        <w:numPr>
          <w:ilvl w:val="1"/>
          <w:numId w:val="1"/>
        </w:numPr>
        <w:tabs>
          <w:tab w:val="left" w:pos="1101"/>
        </w:tabs>
        <w:ind w:right="341"/>
        <w:jc w:val="both"/>
        <w:rPr>
          <w:sz w:val="18"/>
        </w:rPr>
      </w:pPr>
      <w:r>
        <w:rPr>
          <w:sz w:val="18"/>
        </w:rPr>
        <w:t xml:space="preserve">Asher, M. I., </w:t>
      </w:r>
      <w:proofErr w:type="spellStart"/>
      <w:r>
        <w:rPr>
          <w:sz w:val="18"/>
        </w:rPr>
        <w:t>Montefort</w:t>
      </w:r>
      <w:proofErr w:type="spellEnd"/>
      <w:r>
        <w:rPr>
          <w:sz w:val="18"/>
        </w:rPr>
        <w:t xml:space="preserve">, S., </w:t>
      </w:r>
      <w:proofErr w:type="spellStart"/>
      <w:r>
        <w:rPr>
          <w:sz w:val="18"/>
        </w:rPr>
        <w:t>Björkstén</w:t>
      </w:r>
      <w:proofErr w:type="spellEnd"/>
      <w:r>
        <w:rPr>
          <w:sz w:val="18"/>
        </w:rPr>
        <w:t xml:space="preserve">, B., Lai, C. K., Strachan, D. P., </w:t>
      </w:r>
      <w:proofErr w:type="spellStart"/>
      <w:r>
        <w:rPr>
          <w:sz w:val="18"/>
        </w:rPr>
        <w:t>Weiland</w:t>
      </w:r>
      <w:proofErr w:type="spellEnd"/>
      <w:r>
        <w:rPr>
          <w:sz w:val="18"/>
        </w:rPr>
        <w:t xml:space="preserve">, S. K., &amp; ISAAC Phase Three Study Group. </w:t>
      </w:r>
      <w:proofErr w:type="gramStart"/>
      <w:r>
        <w:rPr>
          <w:sz w:val="18"/>
        </w:rPr>
        <w:t>worldwide</w:t>
      </w:r>
      <w:proofErr w:type="gramEnd"/>
      <w:r>
        <w:rPr>
          <w:sz w:val="18"/>
        </w:rPr>
        <w:t xml:space="preserve"> time trends in the prevalence of symptoms of asthma, allergic rhino conjunctivitis, and eczema in childhood: ISAAC Phases One and Three repeat </w:t>
      </w:r>
      <w:proofErr w:type="spellStart"/>
      <w:r>
        <w:rPr>
          <w:sz w:val="18"/>
        </w:rPr>
        <w:t>multicountry</w:t>
      </w:r>
      <w:proofErr w:type="spellEnd"/>
      <w:r>
        <w:rPr>
          <w:sz w:val="18"/>
        </w:rPr>
        <w:t xml:space="preserve"> cross-sectional surveys. The Lancet 2006; 368(9537):</w:t>
      </w:r>
      <w:r>
        <w:rPr>
          <w:spacing w:val="-14"/>
          <w:sz w:val="18"/>
        </w:rPr>
        <w:t xml:space="preserve"> </w:t>
      </w:r>
      <w:r>
        <w:rPr>
          <w:sz w:val="18"/>
        </w:rPr>
        <w:t>733-743.</w:t>
      </w:r>
    </w:p>
    <w:p w:rsidR="0036789C" w:rsidRDefault="00D416F7">
      <w:pPr>
        <w:pStyle w:val="ListParagraph"/>
        <w:numPr>
          <w:ilvl w:val="1"/>
          <w:numId w:val="1"/>
        </w:numPr>
        <w:tabs>
          <w:tab w:val="left" w:pos="1101"/>
        </w:tabs>
        <w:ind w:right="345"/>
        <w:jc w:val="both"/>
        <w:rPr>
          <w:sz w:val="18"/>
        </w:rPr>
      </w:pPr>
      <w:proofErr w:type="spellStart"/>
      <w:r>
        <w:rPr>
          <w:sz w:val="18"/>
        </w:rPr>
        <w:t>Trabelsi</w:t>
      </w:r>
      <w:proofErr w:type="spellEnd"/>
      <w:r>
        <w:rPr>
          <w:sz w:val="18"/>
        </w:rPr>
        <w:t xml:space="preserve"> Y, </w:t>
      </w:r>
      <w:proofErr w:type="spellStart"/>
      <w:r>
        <w:rPr>
          <w:sz w:val="18"/>
        </w:rPr>
        <w:t>Saad</w:t>
      </w:r>
      <w:proofErr w:type="spellEnd"/>
      <w:r>
        <w:rPr>
          <w:sz w:val="18"/>
        </w:rPr>
        <w:t xml:space="preserve"> BH, </w:t>
      </w:r>
      <w:proofErr w:type="spellStart"/>
      <w:r>
        <w:rPr>
          <w:sz w:val="18"/>
        </w:rPr>
        <w:t>Tabka</w:t>
      </w:r>
      <w:proofErr w:type="spellEnd"/>
      <w:r>
        <w:rPr>
          <w:sz w:val="18"/>
        </w:rPr>
        <w:t xml:space="preserve"> Z, </w:t>
      </w:r>
      <w:proofErr w:type="spellStart"/>
      <w:r>
        <w:rPr>
          <w:sz w:val="18"/>
        </w:rPr>
        <w:t>Gharbi</w:t>
      </w:r>
      <w:proofErr w:type="spellEnd"/>
      <w:r>
        <w:rPr>
          <w:sz w:val="18"/>
        </w:rPr>
        <w:t xml:space="preserve"> N, </w:t>
      </w:r>
      <w:proofErr w:type="spellStart"/>
      <w:r>
        <w:rPr>
          <w:sz w:val="18"/>
        </w:rPr>
        <w:t>Buvry</w:t>
      </w:r>
      <w:proofErr w:type="spellEnd"/>
      <w:r>
        <w:rPr>
          <w:sz w:val="18"/>
        </w:rPr>
        <w:t xml:space="preserve"> BA, </w:t>
      </w:r>
      <w:proofErr w:type="spellStart"/>
      <w:r>
        <w:rPr>
          <w:sz w:val="18"/>
        </w:rPr>
        <w:t>Richalet</w:t>
      </w:r>
      <w:proofErr w:type="spellEnd"/>
      <w:r>
        <w:rPr>
          <w:sz w:val="18"/>
        </w:rPr>
        <w:t xml:space="preserve"> JP, </w:t>
      </w:r>
      <w:proofErr w:type="spellStart"/>
      <w:r>
        <w:rPr>
          <w:sz w:val="18"/>
        </w:rPr>
        <w:t>Guenard</w:t>
      </w:r>
      <w:proofErr w:type="spellEnd"/>
      <w:r>
        <w:rPr>
          <w:sz w:val="18"/>
        </w:rPr>
        <w:t xml:space="preserve"> H. </w:t>
      </w:r>
      <w:proofErr w:type="spellStart"/>
      <w:r>
        <w:rPr>
          <w:sz w:val="18"/>
        </w:rPr>
        <w:t>Spirometric</w:t>
      </w:r>
      <w:proofErr w:type="spellEnd"/>
      <w:r>
        <w:rPr>
          <w:sz w:val="18"/>
        </w:rPr>
        <w:t xml:space="preserve"> Reference Values in Tunisian </w:t>
      </w:r>
      <w:r>
        <w:rPr>
          <w:sz w:val="18"/>
        </w:rPr>
        <w:lastRenderedPageBreak/>
        <w:t>Children. Respiration 2004; 71(5): 511-518.</w:t>
      </w:r>
    </w:p>
    <w:p w:rsidR="0036789C" w:rsidRDefault="00D416F7">
      <w:pPr>
        <w:pStyle w:val="ListParagraph"/>
        <w:numPr>
          <w:ilvl w:val="1"/>
          <w:numId w:val="1"/>
        </w:numPr>
        <w:tabs>
          <w:tab w:val="left" w:pos="1101"/>
        </w:tabs>
        <w:ind w:right="340"/>
        <w:jc w:val="both"/>
        <w:rPr>
          <w:sz w:val="18"/>
        </w:rPr>
      </w:pPr>
      <w:proofErr w:type="spellStart"/>
      <w:r>
        <w:rPr>
          <w:sz w:val="18"/>
        </w:rPr>
        <w:t>Quanjer</w:t>
      </w:r>
      <w:proofErr w:type="spellEnd"/>
      <w:r>
        <w:rPr>
          <w:sz w:val="18"/>
        </w:rPr>
        <w:t xml:space="preserve"> PH, </w:t>
      </w:r>
      <w:proofErr w:type="spellStart"/>
      <w:r>
        <w:rPr>
          <w:sz w:val="18"/>
        </w:rPr>
        <w:t>Stanojevic</w:t>
      </w:r>
      <w:proofErr w:type="spellEnd"/>
      <w:r>
        <w:rPr>
          <w:sz w:val="18"/>
        </w:rPr>
        <w:t xml:space="preserve"> S, Cole TJ, </w:t>
      </w:r>
      <w:proofErr w:type="spellStart"/>
      <w:r>
        <w:rPr>
          <w:sz w:val="18"/>
        </w:rPr>
        <w:t>Baur</w:t>
      </w:r>
      <w:proofErr w:type="spellEnd"/>
      <w:r>
        <w:rPr>
          <w:sz w:val="18"/>
        </w:rPr>
        <w:t xml:space="preserve"> X, Hall GL, Culver BH, Enright PL, Hankinson JL, </w:t>
      </w:r>
      <w:proofErr w:type="spellStart"/>
      <w:r>
        <w:rPr>
          <w:sz w:val="18"/>
        </w:rPr>
        <w:t>Ip</w:t>
      </w:r>
      <w:proofErr w:type="spellEnd"/>
      <w:r>
        <w:rPr>
          <w:sz w:val="18"/>
        </w:rPr>
        <w:t xml:space="preserve"> MS, </w:t>
      </w:r>
      <w:proofErr w:type="spellStart"/>
      <w:r>
        <w:rPr>
          <w:sz w:val="18"/>
        </w:rPr>
        <w:t>Zheng</w:t>
      </w:r>
      <w:proofErr w:type="spellEnd"/>
      <w:r>
        <w:rPr>
          <w:sz w:val="18"/>
        </w:rPr>
        <w:t xml:space="preserve"> J, Stocks J. Multi-ethnic reference values for </w:t>
      </w:r>
      <w:proofErr w:type="spellStart"/>
      <w:r>
        <w:rPr>
          <w:sz w:val="18"/>
        </w:rPr>
        <w:t>spirometry</w:t>
      </w:r>
      <w:proofErr w:type="spellEnd"/>
      <w:r>
        <w:rPr>
          <w:sz w:val="18"/>
        </w:rPr>
        <w:t xml:space="preserve"> for the 3–95-yr age range: the global lung function 2012</w:t>
      </w:r>
      <w:r>
        <w:rPr>
          <w:spacing w:val="-15"/>
          <w:sz w:val="18"/>
        </w:rPr>
        <w:t xml:space="preserve"> </w:t>
      </w:r>
      <w:r>
        <w:rPr>
          <w:sz w:val="18"/>
        </w:rPr>
        <w:t>equations.</w:t>
      </w:r>
    </w:p>
    <w:p w:rsidR="0036789C" w:rsidRDefault="00D416F7">
      <w:pPr>
        <w:pStyle w:val="ListParagraph"/>
        <w:numPr>
          <w:ilvl w:val="1"/>
          <w:numId w:val="1"/>
        </w:numPr>
        <w:tabs>
          <w:tab w:val="left" w:pos="1101"/>
        </w:tabs>
        <w:ind w:right="348"/>
        <w:jc w:val="both"/>
        <w:rPr>
          <w:sz w:val="18"/>
        </w:rPr>
      </w:pPr>
      <w:proofErr w:type="spellStart"/>
      <w:r>
        <w:rPr>
          <w:sz w:val="18"/>
        </w:rPr>
        <w:t>Chavasse</w:t>
      </w:r>
      <w:proofErr w:type="spellEnd"/>
      <w:r>
        <w:rPr>
          <w:sz w:val="18"/>
        </w:rPr>
        <w:t xml:space="preserve"> R, </w:t>
      </w:r>
      <w:proofErr w:type="spellStart"/>
      <w:r>
        <w:rPr>
          <w:sz w:val="18"/>
        </w:rPr>
        <w:t>Jhonson</w:t>
      </w:r>
      <w:proofErr w:type="spellEnd"/>
      <w:r>
        <w:rPr>
          <w:sz w:val="18"/>
        </w:rPr>
        <w:t xml:space="preserve"> P, Francis J, Balfour-</w:t>
      </w:r>
      <w:proofErr w:type="spellStart"/>
      <w:r>
        <w:rPr>
          <w:sz w:val="18"/>
        </w:rPr>
        <w:t>lynn</w:t>
      </w:r>
      <w:proofErr w:type="spellEnd"/>
      <w:r>
        <w:rPr>
          <w:sz w:val="18"/>
        </w:rPr>
        <w:t xml:space="preserve"> I, Rosenthal M, Bush A. To Clip or not to Clip </w:t>
      </w:r>
      <w:proofErr w:type="spellStart"/>
      <w:r>
        <w:rPr>
          <w:sz w:val="18"/>
        </w:rPr>
        <w:t>Noseclips</w:t>
      </w:r>
      <w:proofErr w:type="spellEnd"/>
      <w:r>
        <w:rPr>
          <w:sz w:val="18"/>
        </w:rPr>
        <w:t xml:space="preserve"> for </w:t>
      </w:r>
      <w:proofErr w:type="spellStart"/>
      <w:r>
        <w:rPr>
          <w:sz w:val="18"/>
        </w:rPr>
        <w:t>Spirometry</w:t>
      </w:r>
      <w:proofErr w:type="spellEnd"/>
      <w:r>
        <w:rPr>
          <w:sz w:val="18"/>
        </w:rPr>
        <w:t>. European Respiratory Journal 2003; 21(5):</w:t>
      </w:r>
      <w:r>
        <w:rPr>
          <w:spacing w:val="-7"/>
          <w:sz w:val="18"/>
        </w:rPr>
        <w:t xml:space="preserve"> </w:t>
      </w:r>
      <w:r>
        <w:rPr>
          <w:sz w:val="18"/>
        </w:rPr>
        <w:t>876-878.</w:t>
      </w:r>
    </w:p>
    <w:p w:rsidR="0036789C" w:rsidRDefault="00D416F7">
      <w:pPr>
        <w:pStyle w:val="ListParagraph"/>
        <w:numPr>
          <w:ilvl w:val="1"/>
          <w:numId w:val="1"/>
        </w:numPr>
        <w:tabs>
          <w:tab w:val="left" w:pos="1101"/>
        </w:tabs>
        <w:ind w:right="347"/>
        <w:jc w:val="both"/>
        <w:rPr>
          <w:sz w:val="18"/>
        </w:rPr>
      </w:pPr>
      <w:r>
        <w:rPr>
          <w:sz w:val="18"/>
        </w:rPr>
        <w:t xml:space="preserve">American Thoracic Society, 1994. Standardization of </w:t>
      </w:r>
      <w:proofErr w:type="spellStart"/>
      <w:r>
        <w:rPr>
          <w:sz w:val="18"/>
        </w:rPr>
        <w:t>Spirometry</w:t>
      </w:r>
      <w:proofErr w:type="spellEnd"/>
      <w:r>
        <w:rPr>
          <w:sz w:val="18"/>
        </w:rPr>
        <w:t>. Updated: American Review of Respiratory Critical Care Medicine 1995; 152: 1107-</w:t>
      </w:r>
      <w:r>
        <w:rPr>
          <w:spacing w:val="-7"/>
          <w:sz w:val="18"/>
        </w:rPr>
        <w:t xml:space="preserve"> </w:t>
      </w:r>
      <w:r>
        <w:rPr>
          <w:sz w:val="18"/>
        </w:rPr>
        <w:t>1136.</w:t>
      </w:r>
    </w:p>
    <w:p w:rsidR="0036789C" w:rsidRDefault="00D416F7">
      <w:pPr>
        <w:pStyle w:val="ListParagraph"/>
        <w:numPr>
          <w:ilvl w:val="1"/>
          <w:numId w:val="1"/>
        </w:numPr>
        <w:tabs>
          <w:tab w:val="left" w:pos="1101"/>
        </w:tabs>
        <w:jc w:val="both"/>
        <w:rPr>
          <w:sz w:val="18"/>
        </w:rPr>
      </w:pPr>
      <w:r>
        <w:rPr>
          <w:sz w:val="18"/>
        </w:rPr>
        <w:t>Cotes JE. Lung Function: Assessment and Application in Medicine. 5</w:t>
      </w:r>
      <w:r>
        <w:rPr>
          <w:sz w:val="18"/>
          <w:vertAlign w:val="superscript"/>
        </w:rPr>
        <w:t>th</w:t>
      </w:r>
      <w:r>
        <w:rPr>
          <w:sz w:val="18"/>
        </w:rPr>
        <w:t xml:space="preserve"> Edition. Oxford Blackwell Scientific Publication.1993; 134-150.</w:t>
      </w:r>
    </w:p>
    <w:p w:rsidR="0036789C" w:rsidRDefault="00D416F7">
      <w:pPr>
        <w:pStyle w:val="ListParagraph"/>
        <w:numPr>
          <w:ilvl w:val="1"/>
          <w:numId w:val="1"/>
        </w:numPr>
        <w:tabs>
          <w:tab w:val="left" w:pos="1101"/>
        </w:tabs>
        <w:ind w:right="342"/>
        <w:jc w:val="both"/>
        <w:rPr>
          <w:sz w:val="18"/>
        </w:rPr>
      </w:pPr>
      <w:proofErr w:type="spellStart"/>
      <w:r>
        <w:rPr>
          <w:sz w:val="18"/>
        </w:rPr>
        <w:t>Litonjua</w:t>
      </w:r>
      <w:proofErr w:type="spellEnd"/>
      <w:r>
        <w:rPr>
          <w:sz w:val="18"/>
        </w:rPr>
        <w:t xml:space="preserve"> AA, Hollis BW, </w:t>
      </w:r>
      <w:proofErr w:type="spellStart"/>
      <w:r>
        <w:rPr>
          <w:sz w:val="18"/>
        </w:rPr>
        <w:t>Schuemann</w:t>
      </w:r>
      <w:proofErr w:type="spellEnd"/>
      <w:r>
        <w:rPr>
          <w:sz w:val="18"/>
        </w:rPr>
        <w:t xml:space="preserve"> BK, </w:t>
      </w:r>
      <w:proofErr w:type="spellStart"/>
      <w:r>
        <w:rPr>
          <w:sz w:val="18"/>
        </w:rPr>
        <w:t>Celedón</w:t>
      </w:r>
      <w:proofErr w:type="spellEnd"/>
      <w:r>
        <w:rPr>
          <w:sz w:val="18"/>
        </w:rPr>
        <w:t xml:space="preserve"> JC, </w:t>
      </w:r>
      <w:proofErr w:type="spellStart"/>
      <w:r>
        <w:rPr>
          <w:sz w:val="18"/>
        </w:rPr>
        <w:t>Fuhlbrigge</w:t>
      </w:r>
      <w:proofErr w:type="spellEnd"/>
      <w:r>
        <w:rPr>
          <w:sz w:val="18"/>
        </w:rPr>
        <w:t xml:space="preserve"> AL, </w:t>
      </w:r>
      <w:proofErr w:type="spellStart"/>
      <w:r>
        <w:rPr>
          <w:sz w:val="18"/>
        </w:rPr>
        <w:t>Raby</w:t>
      </w:r>
      <w:proofErr w:type="spellEnd"/>
      <w:r>
        <w:rPr>
          <w:sz w:val="18"/>
        </w:rPr>
        <w:t xml:space="preserve"> BA, Weiss ST. Low serum vitamin D levels are associated with increased asthma exacerbations among children using regular inhaled corticosteroids. J Allergy </w:t>
      </w:r>
      <w:proofErr w:type="spellStart"/>
      <w:r>
        <w:rPr>
          <w:sz w:val="18"/>
        </w:rPr>
        <w:t>Clin</w:t>
      </w:r>
      <w:proofErr w:type="spellEnd"/>
      <w:r>
        <w:rPr>
          <w:sz w:val="18"/>
        </w:rPr>
        <w:t xml:space="preserve"> Immunol.2008; 121:</w:t>
      </w:r>
      <w:r>
        <w:rPr>
          <w:spacing w:val="-4"/>
          <w:sz w:val="18"/>
        </w:rPr>
        <w:t xml:space="preserve"> </w:t>
      </w:r>
      <w:r>
        <w:rPr>
          <w:sz w:val="18"/>
        </w:rPr>
        <w:t>S144.</w:t>
      </w:r>
    </w:p>
    <w:p w:rsidR="0036789C" w:rsidRDefault="00D416F7">
      <w:pPr>
        <w:pStyle w:val="ListParagraph"/>
        <w:numPr>
          <w:ilvl w:val="1"/>
          <w:numId w:val="1"/>
        </w:numPr>
        <w:tabs>
          <w:tab w:val="left" w:pos="1101"/>
        </w:tabs>
        <w:ind w:right="342"/>
        <w:jc w:val="both"/>
        <w:rPr>
          <w:sz w:val="18"/>
        </w:rPr>
      </w:pPr>
      <w:proofErr w:type="spellStart"/>
      <w:r>
        <w:rPr>
          <w:sz w:val="18"/>
        </w:rPr>
        <w:t>Litonjua</w:t>
      </w:r>
      <w:proofErr w:type="spellEnd"/>
      <w:r>
        <w:rPr>
          <w:sz w:val="18"/>
        </w:rPr>
        <w:t>, A. A., &amp; Weiss, S. T. Is vitamin D deficiency to blame for the asthma epidemic</w:t>
      </w:r>
      <w:proofErr w:type="gramStart"/>
      <w:r>
        <w:rPr>
          <w:sz w:val="18"/>
        </w:rPr>
        <w:t>?.</w:t>
      </w:r>
      <w:proofErr w:type="gramEnd"/>
      <w:r>
        <w:rPr>
          <w:sz w:val="18"/>
        </w:rPr>
        <w:t xml:space="preserve"> Journal of Allergy and Clinical Immunology 2007; 120(5):</w:t>
      </w:r>
      <w:r>
        <w:rPr>
          <w:spacing w:val="-8"/>
          <w:sz w:val="18"/>
        </w:rPr>
        <w:t xml:space="preserve"> </w:t>
      </w:r>
      <w:r>
        <w:rPr>
          <w:sz w:val="18"/>
        </w:rPr>
        <w:t>1031-1035.</w:t>
      </w:r>
    </w:p>
    <w:p w:rsidR="0036789C" w:rsidRDefault="00D416F7">
      <w:pPr>
        <w:pStyle w:val="ListParagraph"/>
        <w:numPr>
          <w:ilvl w:val="1"/>
          <w:numId w:val="1"/>
        </w:numPr>
        <w:tabs>
          <w:tab w:val="left" w:pos="1101"/>
        </w:tabs>
        <w:jc w:val="both"/>
        <w:rPr>
          <w:sz w:val="18"/>
        </w:rPr>
      </w:pPr>
      <w:r>
        <w:rPr>
          <w:sz w:val="18"/>
        </w:rPr>
        <w:t xml:space="preserve">Strachan, D. P., </w:t>
      </w:r>
      <w:proofErr w:type="spellStart"/>
      <w:r>
        <w:rPr>
          <w:sz w:val="18"/>
        </w:rPr>
        <w:t>Butland</w:t>
      </w:r>
      <w:proofErr w:type="spellEnd"/>
      <w:r>
        <w:rPr>
          <w:sz w:val="18"/>
        </w:rPr>
        <w:t>, B. K., &amp; Anderson, H. R. Incidence and prognosis of asthma and wheezing illness from early childhood to age 33 in a national British cohort. BMJ 1996; 312(7040):</w:t>
      </w:r>
      <w:r>
        <w:rPr>
          <w:spacing w:val="-7"/>
          <w:sz w:val="18"/>
        </w:rPr>
        <w:t xml:space="preserve"> </w:t>
      </w:r>
      <w:r>
        <w:rPr>
          <w:sz w:val="18"/>
        </w:rPr>
        <w:t>1195-1199.</w:t>
      </w:r>
    </w:p>
    <w:p w:rsidR="0036789C" w:rsidRDefault="00D416F7">
      <w:pPr>
        <w:pStyle w:val="ListParagraph"/>
        <w:numPr>
          <w:ilvl w:val="1"/>
          <w:numId w:val="1"/>
        </w:numPr>
        <w:tabs>
          <w:tab w:val="left" w:pos="1101"/>
        </w:tabs>
        <w:jc w:val="both"/>
        <w:rPr>
          <w:sz w:val="18"/>
        </w:rPr>
      </w:pPr>
      <w:r>
        <w:rPr>
          <w:sz w:val="18"/>
        </w:rPr>
        <w:t xml:space="preserve">Bouillon R, </w:t>
      </w:r>
      <w:proofErr w:type="spellStart"/>
      <w:r>
        <w:rPr>
          <w:sz w:val="18"/>
        </w:rPr>
        <w:t>Carmeliet</w:t>
      </w:r>
      <w:proofErr w:type="spellEnd"/>
      <w:r>
        <w:rPr>
          <w:sz w:val="18"/>
        </w:rPr>
        <w:t xml:space="preserve"> G, </w:t>
      </w:r>
      <w:proofErr w:type="spellStart"/>
      <w:r>
        <w:rPr>
          <w:sz w:val="18"/>
        </w:rPr>
        <w:t>Verlinden</w:t>
      </w:r>
      <w:proofErr w:type="spellEnd"/>
      <w:r>
        <w:rPr>
          <w:sz w:val="18"/>
        </w:rPr>
        <w:t xml:space="preserve"> L, van </w:t>
      </w:r>
      <w:proofErr w:type="spellStart"/>
      <w:r>
        <w:rPr>
          <w:sz w:val="18"/>
        </w:rPr>
        <w:t>Etten</w:t>
      </w:r>
      <w:proofErr w:type="spellEnd"/>
      <w:r>
        <w:rPr>
          <w:sz w:val="18"/>
        </w:rPr>
        <w:t xml:space="preserve"> E, </w:t>
      </w:r>
      <w:proofErr w:type="spellStart"/>
      <w:proofErr w:type="gramStart"/>
      <w:r>
        <w:rPr>
          <w:sz w:val="18"/>
        </w:rPr>
        <w:t>Verstuyf</w:t>
      </w:r>
      <w:proofErr w:type="spellEnd"/>
      <w:proofErr w:type="gramEnd"/>
      <w:r>
        <w:rPr>
          <w:sz w:val="18"/>
        </w:rPr>
        <w:t xml:space="preserve"> A, </w:t>
      </w:r>
      <w:proofErr w:type="spellStart"/>
      <w:r>
        <w:rPr>
          <w:sz w:val="18"/>
        </w:rPr>
        <w:t>Luderer</w:t>
      </w:r>
      <w:proofErr w:type="spellEnd"/>
      <w:r>
        <w:rPr>
          <w:sz w:val="18"/>
        </w:rPr>
        <w:t xml:space="preserve"> HF, </w:t>
      </w:r>
      <w:proofErr w:type="spellStart"/>
      <w:r>
        <w:rPr>
          <w:sz w:val="18"/>
        </w:rPr>
        <w:t>Lieben</w:t>
      </w:r>
      <w:proofErr w:type="spellEnd"/>
      <w:r>
        <w:rPr>
          <w:sz w:val="18"/>
        </w:rPr>
        <w:t xml:space="preserve"> L, Mathieu C, </w:t>
      </w:r>
      <w:proofErr w:type="spellStart"/>
      <w:r>
        <w:rPr>
          <w:sz w:val="18"/>
        </w:rPr>
        <w:t>Demay</w:t>
      </w:r>
      <w:proofErr w:type="spellEnd"/>
      <w:r>
        <w:rPr>
          <w:sz w:val="18"/>
        </w:rPr>
        <w:t xml:space="preserve"> M. Vitamin D and human health: lessons from vitamin D receptor null mice. Endocrine reviews 2008; 29(6):</w:t>
      </w:r>
      <w:r>
        <w:rPr>
          <w:spacing w:val="-7"/>
          <w:sz w:val="18"/>
        </w:rPr>
        <w:t xml:space="preserve"> </w:t>
      </w:r>
      <w:r>
        <w:rPr>
          <w:sz w:val="18"/>
        </w:rPr>
        <w:t>726-76.</w:t>
      </w:r>
    </w:p>
    <w:p w:rsidR="0036789C" w:rsidRDefault="00D416F7">
      <w:pPr>
        <w:pStyle w:val="ListParagraph"/>
        <w:numPr>
          <w:ilvl w:val="1"/>
          <w:numId w:val="1"/>
        </w:numPr>
        <w:tabs>
          <w:tab w:val="left" w:pos="1101"/>
        </w:tabs>
        <w:ind w:right="343"/>
        <w:jc w:val="both"/>
        <w:rPr>
          <w:sz w:val="18"/>
        </w:rPr>
      </w:pPr>
      <w:r>
        <w:rPr>
          <w:sz w:val="18"/>
        </w:rPr>
        <w:t xml:space="preserve">National Asthma Education, Prevention Program (National Heart, &amp; Blood Institute) Second Expert Panel on the Management of Asthma. Expert Panel report </w:t>
      </w:r>
      <w:r>
        <w:rPr>
          <w:spacing w:val="2"/>
          <w:sz w:val="18"/>
        </w:rPr>
        <w:t xml:space="preserve">2: </w:t>
      </w:r>
      <w:r>
        <w:rPr>
          <w:sz w:val="18"/>
        </w:rPr>
        <w:t>guidelines for the diagnosis and management of asthma (No. 97). DIANE Publishing</w:t>
      </w:r>
      <w:r>
        <w:rPr>
          <w:spacing w:val="-1"/>
          <w:sz w:val="18"/>
        </w:rPr>
        <w:t xml:space="preserve"> </w:t>
      </w:r>
      <w:r>
        <w:rPr>
          <w:sz w:val="18"/>
        </w:rPr>
        <w:t>1997.</w:t>
      </w:r>
    </w:p>
    <w:p w:rsidR="0036789C" w:rsidRDefault="00D416F7">
      <w:pPr>
        <w:pStyle w:val="ListParagraph"/>
        <w:numPr>
          <w:ilvl w:val="1"/>
          <w:numId w:val="1"/>
        </w:numPr>
        <w:tabs>
          <w:tab w:val="left" w:pos="1101"/>
        </w:tabs>
        <w:ind w:right="341"/>
        <w:jc w:val="both"/>
        <w:rPr>
          <w:sz w:val="18"/>
        </w:rPr>
      </w:pPr>
      <w:r>
        <w:rPr>
          <w:sz w:val="18"/>
        </w:rPr>
        <w:t>Strachan, D. P., &amp; Cook, D. G. Parental smoking and childhood asthma: longitudinal and case-control studies. Thorax 1998; 53(3),</w:t>
      </w:r>
      <w:r>
        <w:rPr>
          <w:spacing w:val="-2"/>
          <w:sz w:val="18"/>
        </w:rPr>
        <w:t xml:space="preserve"> </w:t>
      </w:r>
      <w:r>
        <w:rPr>
          <w:sz w:val="18"/>
        </w:rPr>
        <w:t>204-212.</w:t>
      </w:r>
    </w:p>
    <w:p w:rsidR="0036789C" w:rsidRDefault="00D416F7">
      <w:pPr>
        <w:pStyle w:val="ListParagraph"/>
        <w:numPr>
          <w:ilvl w:val="1"/>
          <w:numId w:val="1"/>
        </w:numPr>
        <w:tabs>
          <w:tab w:val="left" w:pos="1101"/>
        </w:tabs>
        <w:ind w:right="353"/>
        <w:jc w:val="both"/>
        <w:rPr>
          <w:sz w:val="18"/>
        </w:rPr>
      </w:pPr>
      <w:proofErr w:type="spellStart"/>
      <w:r>
        <w:rPr>
          <w:sz w:val="18"/>
        </w:rPr>
        <w:t>Madan</w:t>
      </w:r>
      <w:proofErr w:type="spellEnd"/>
      <w:r>
        <w:rPr>
          <w:sz w:val="18"/>
        </w:rPr>
        <w:t xml:space="preserve">, D., </w:t>
      </w:r>
      <w:proofErr w:type="spellStart"/>
      <w:r>
        <w:rPr>
          <w:sz w:val="18"/>
        </w:rPr>
        <w:t>Singal</w:t>
      </w:r>
      <w:proofErr w:type="spellEnd"/>
      <w:r>
        <w:rPr>
          <w:sz w:val="18"/>
        </w:rPr>
        <w:t xml:space="preserve">, P., </w:t>
      </w:r>
      <w:proofErr w:type="spellStart"/>
      <w:r>
        <w:rPr>
          <w:sz w:val="18"/>
        </w:rPr>
        <w:t>Kaur</w:t>
      </w:r>
      <w:proofErr w:type="spellEnd"/>
      <w:r>
        <w:rPr>
          <w:sz w:val="18"/>
        </w:rPr>
        <w:t xml:space="preserve">, H. </w:t>
      </w:r>
      <w:proofErr w:type="spellStart"/>
      <w:r>
        <w:rPr>
          <w:sz w:val="18"/>
        </w:rPr>
        <w:t>Spirometric</w:t>
      </w:r>
      <w:proofErr w:type="spellEnd"/>
      <w:r>
        <w:rPr>
          <w:sz w:val="18"/>
        </w:rPr>
        <w:t xml:space="preserve"> Evaluation of Pulmonary </w:t>
      </w:r>
      <w:proofErr w:type="gramStart"/>
      <w:r>
        <w:rPr>
          <w:sz w:val="18"/>
        </w:rPr>
        <w:t>Function  Tests</w:t>
      </w:r>
      <w:proofErr w:type="gramEnd"/>
      <w:r>
        <w:rPr>
          <w:sz w:val="18"/>
        </w:rPr>
        <w:t xml:space="preserve"> in Bronchial  Asthma Patients.  Journal of Exercise Science and Physiotherapy.2010; 6(2):</w:t>
      </w:r>
      <w:r>
        <w:rPr>
          <w:spacing w:val="7"/>
          <w:sz w:val="18"/>
        </w:rPr>
        <w:t xml:space="preserve"> </w:t>
      </w:r>
      <w:r>
        <w:rPr>
          <w:sz w:val="18"/>
        </w:rPr>
        <w:t>106</w:t>
      </w:r>
    </w:p>
    <w:p w:rsidR="0036789C" w:rsidRDefault="00D416F7">
      <w:pPr>
        <w:pStyle w:val="ListParagraph"/>
        <w:numPr>
          <w:ilvl w:val="1"/>
          <w:numId w:val="1"/>
        </w:numPr>
        <w:tabs>
          <w:tab w:val="left" w:pos="1101"/>
        </w:tabs>
        <w:spacing w:before="82"/>
        <w:ind w:right="339"/>
        <w:rPr>
          <w:sz w:val="18"/>
        </w:rPr>
      </w:pPr>
      <w:r>
        <w:rPr>
          <w:sz w:val="18"/>
        </w:rPr>
        <w:t xml:space="preserve">Fletcher, C., </w:t>
      </w:r>
      <w:proofErr w:type="spellStart"/>
      <w:r>
        <w:rPr>
          <w:sz w:val="18"/>
        </w:rPr>
        <w:t>Peto</w:t>
      </w:r>
      <w:proofErr w:type="spellEnd"/>
      <w:r>
        <w:rPr>
          <w:sz w:val="18"/>
        </w:rPr>
        <w:t xml:space="preserve">, R., Tinker, F.E. The natural history of chronic bronchitis and emphysema; an eight year study of early chronic obstructive lung disease in working men in </w:t>
      </w:r>
      <w:proofErr w:type="spellStart"/>
      <w:r>
        <w:rPr>
          <w:sz w:val="18"/>
        </w:rPr>
        <w:t>London.Oxford</w:t>
      </w:r>
      <w:proofErr w:type="spellEnd"/>
      <w:r>
        <w:rPr>
          <w:sz w:val="18"/>
        </w:rPr>
        <w:t>, England; 1976; Oxford University</w:t>
      </w:r>
      <w:r>
        <w:rPr>
          <w:spacing w:val="33"/>
          <w:sz w:val="18"/>
        </w:rPr>
        <w:t xml:space="preserve"> </w:t>
      </w:r>
      <w:r>
        <w:rPr>
          <w:sz w:val="18"/>
        </w:rPr>
        <w:t>Press.</w:t>
      </w:r>
    </w:p>
    <w:p w:rsidR="0036789C" w:rsidRDefault="00D416F7">
      <w:pPr>
        <w:pStyle w:val="ListParagraph"/>
        <w:numPr>
          <w:ilvl w:val="1"/>
          <w:numId w:val="1"/>
        </w:numPr>
        <w:tabs>
          <w:tab w:val="left" w:pos="1101"/>
        </w:tabs>
        <w:ind w:right="342"/>
        <w:rPr>
          <w:sz w:val="18"/>
        </w:rPr>
      </w:pPr>
      <w:proofErr w:type="spellStart"/>
      <w:r>
        <w:rPr>
          <w:sz w:val="18"/>
        </w:rPr>
        <w:t>Ulrik</w:t>
      </w:r>
      <w:proofErr w:type="spellEnd"/>
      <w:r>
        <w:rPr>
          <w:sz w:val="18"/>
        </w:rPr>
        <w:t>, C.S., Backer, V. and Dirksen, A. Mortality and decline in lung function in 213 adults with bronchial asthma: a ten- year follow up. J. Asthma 1992; 29:</w:t>
      </w:r>
      <w:r>
        <w:rPr>
          <w:spacing w:val="16"/>
          <w:sz w:val="18"/>
        </w:rPr>
        <w:t xml:space="preserve"> </w:t>
      </w:r>
      <w:r>
        <w:rPr>
          <w:sz w:val="18"/>
        </w:rPr>
        <w:t>29-38.</w:t>
      </w:r>
    </w:p>
    <w:p w:rsidR="0036789C" w:rsidRDefault="00D416F7">
      <w:pPr>
        <w:pStyle w:val="ListParagraph"/>
        <w:numPr>
          <w:ilvl w:val="1"/>
          <w:numId w:val="1"/>
        </w:numPr>
        <w:tabs>
          <w:tab w:val="left" w:pos="1101"/>
        </w:tabs>
        <w:spacing w:before="1"/>
        <w:ind w:right="348"/>
        <w:rPr>
          <w:sz w:val="18"/>
        </w:rPr>
      </w:pPr>
      <w:r>
        <w:rPr>
          <w:sz w:val="18"/>
        </w:rPr>
        <w:t xml:space="preserve">Lange, P., </w:t>
      </w:r>
      <w:proofErr w:type="spellStart"/>
      <w:r>
        <w:rPr>
          <w:sz w:val="18"/>
        </w:rPr>
        <w:t>Parner</w:t>
      </w:r>
      <w:proofErr w:type="spellEnd"/>
      <w:r>
        <w:rPr>
          <w:sz w:val="18"/>
        </w:rPr>
        <w:t xml:space="preserve">, J., </w:t>
      </w:r>
      <w:proofErr w:type="spellStart"/>
      <w:r>
        <w:rPr>
          <w:sz w:val="18"/>
        </w:rPr>
        <w:t>Vestbo</w:t>
      </w:r>
      <w:proofErr w:type="spellEnd"/>
      <w:r>
        <w:rPr>
          <w:sz w:val="18"/>
        </w:rPr>
        <w:t xml:space="preserve">, J., </w:t>
      </w:r>
      <w:proofErr w:type="spellStart"/>
      <w:r>
        <w:rPr>
          <w:sz w:val="18"/>
        </w:rPr>
        <w:t>Schnohr</w:t>
      </w:r>
      <w:proofErr w:type="spellEnd"/>
      <w:r>
        <w:rPr>
          <w:sz w:val="18"/>
        </w:rPr>
        <w:t>, P. and Jensen, G. A 15-year follow-up study of ventilator function in adults with asthma. N. Engl. J. Med 1998; 339:</w:t>
      </w:r>
      <w:r>
        <w:rPr>
          <w:spacing w:val="24"/>
          <w:sz w:val="18"/>
        </w:rPr>
        <w:t xml:space="preserve"> </w:t>
      </w:r>
      <w:r>
        <w:rPr>
          <w:sz w:val="18"/>
        </w:rPr>
        <w:t>1194–1200.</w:t>
      </w:r>
    </w:p>
    <w:p w:rsidR="0036789C" w:rsidRDefault="00D416F7">
      <w:pPr>
        <w:pStyle w:val="ListParagraph"/>
        <w:numPr>
          <w:ilvl w:val="1"/>
          <w:numId w:val="1"/>
        </w:numPr>
        <w:tabs>
          <w:tab w:val="left" w:pos="1101"/>
        </w:tabs>
        <w:ind w:right="349"/>
        <w:rPr>
          <w:sz w:val="18"/>
        </w:rPr>
      </w:pPr>
      <w:r>
        <w:rPr>
          <w:sz w:val="18"/>
        </w:rPr>
        <w:t xml:space="preserve">Burrows, B., Bloom, J.W. and </w:t>
      </w:r>
      <w:proofErr w:type="spellStart"/>
      <w:r>
        <w:rPr>
          <w:sz w:val="18"/>
        </w:rPr>
        <w:t>Traver</w:t>
      </w:r>
      <w:proofErr w:type="spellEnd"/>
      <w:r>
        <w:rPr>
          <w:sz w:val="18"/>
        </w:rPr>
        <w:t>, G.A. Course and prognosis of different forms of chronic airways obstruction in a sample from the general population. N. Engl. J. Med 1987; 317:</w:t>
      </w:r>
      <w:r>
        <w:rPr>
          <w:spacing w:val="20"/>
          <w:sz w:val="18"/>
        </w:rPr>
        <w:t xml:space="preserve"> </w:t>
      </w:r>
      <w:r>
        <w:rPr>
          <w:sz w:val="18"/>
        </w:rPr>
        <w:t>1309-131.</w:t>
      </w:r>
    </w:p>
    <w:p w:rsidR="0036789C" w:rsidRDefault="00D416F7">
      <w:pPr>
        <w:pStyle w:val="ListParagraph"/>
        <w:numPr>
          <w:ilvl w:val="1"/>
          <w:numId w:val="1"/>
        </w:numPr>
        <w:tabs>
          <w:tab w:val="left" w:pos="1101"/>
        </w:tabs>
        <w:ind w:right="346"/>
        <w:rPr>
          <w:sz w:val="18"/>
        </w:rPr>
      </w:pPr>
      <w:proofErr w:type="spellStart"/>
      <w:r>
        <w:rPr>
          <w:sz w:val="18"/>
        </w:rPr>
        <w:t>Panhuysen</w:t>
      </w:r>
      <w:proofErr w:type="spellEnd"/>
      <w:r>
        <w:rPr>
          <w:sz w:val="18"/>
        </w:rPr>
        <w:t xml:space="preserve">, C.I.M., </w:t>
      </w:r>
      <w:proofErr w:type="spellStart"/>
      <w:r>
        <w:rPr>
          <w:sz w:val="18"/>
        </w:rPr>
        <w:t>Vonk</w:t>
      </w:r>
      <w:proofErr w:type="spellEnd"/>
      <w:r>
        <w:rPr>
          <w:sz w:val="18"/>
        </w:rPr>
        <w:t xml:space="preserve">, J.M. and </w:t>
      </w:r>
      <w:proofErr w:type="spellStart"/>
      <w:r>
        <w:rPr>
          <w:sz w:val="18"/>
        </w:rPr>
        <w:t>Koëter</w:t>
      </w:r>
      <w:proofErr w:type="spellEnd"/>
      <w:r>
        <w:rPr>
          <w:sz w:val="18"/>
        </w:rPr>
        <w:t>, G.H. Adult patients may outgrow their asthma: a 25 year follow-up study. Am. J. Resp. Crit. Care Med 1997; 155:</w:t>
      </w:r>
      <w:r>
        <w:rPr>
          <w:spacing w:val="10"/>
          <w:sz w:val="18"/>
        </w:rPr>
        <w:t xml:space="preserve"> </w:t>
      </w:r>
      <w:r>
        <w:rPr>
          <w:sz w:val="18"/>
        </w:rPr>
        <w:t>1267-1272.</w:t>
      </w:r>
    </w:p>
    <w:p w:rsidR="0036789C" w:rsidRDefault="00D416F7">
      <w:pPr>
        <w:pStyle w:val="ListParagraph"/>
        <w:numPr>
          <w:ilvl w:val="1"/>
          <w:numId w:val="1"/>
        </w:numPr>
        <w:tabs>
          <w:tab w:val="left" w:pos="1101"/>
        </w:tabs>
        <w:ind w:right="356"/>
        <w:rPr>
          <w:sz w:val="18"/>
        </w:rPr>
      </w:pPr>
      <w:proofErr w:type="spellStart"/>
      <w:r>
        <w:rPr>
          <w:sz w:val="18"/>
        </w:rPr>
        <w:t>Zeiger</w:t>
      </w:r>
      <w:proofErr w:type="spellEnd"/>
      <w:r>
        <w:rPr>
          <w:sz w:val="18"/>
        </w:rPr>
        <w:t xml:space="preserve">, R.S., Dawson, C. and Weiss, S. Relationships between duration of </w:t>
      </w:r>
      <w:proofErr w:type="gramStart"/>
      <w:r>
        <w:rPr>
          <w:sz w:val="18"/>
        </w:rPr>
        <w:t>asthma  and</w:t>
      </w:r>
      <w:proofErr w:type="gramEnd"/>
      <w:r>
        <w:rPr>
          <w:sz w:val="18"/>
        </w:rPr>
        <w:t xml:space="preserve"> asthma severity among children in the Childhood Asthma Management Program (CAMP). J. Allergy </w:t>
      </w:r>
      <w:proofErr w:type="spellStart"/>
      <w:r>
        <w:rPr>
          <w:sz w:val="18"/>
        </w:rPr>
        <w:t>Clin</w:t>
      </w:r>
      <w:proofErr w:type="spellEnd"/>
      <w:r>
        <w:rPr>
          <w:sz w:val="18"/>
        </w:rPr>
        <w:t xml:space="preserve">. </w:t>
      </w:r>
      <w:proofErr w:type="spellStart"/>
      <w:r>
        <w:rPr>
          <w:sz w:val="18"/>
        </w:rPr>
        <w:t>Immunol</w:t>
      </w:r>
      <w:proofErr w:type="spellEnd"/>
      <w:r>
        <w:rPr>
          <w:sz w:val="18"/>
        </w:rPr>
        <w:t xml:space="preserve"> 1999; 103:</w:t>
      </w:r>
      <w:r>
        <w:rPr>
          <w:spacing w:val="44"/>
          <w:sz w:val="18"/>
        </w:rPr>
        <w:t xml:space="preserve"> </w:t>
      </w:r>
      <w:r>
        <w:rPr>
          <w:sz w:val="18"/>
        </w:rPr>
        <w:t>376–387.</w:t>
      </w:r>
    </w:p>
    <w:p w:rsidR="0036789C" w:rsidRDefault="00D416F7">
      <w:pPr>
        <w:pStyle w:val="ListParagraph"/>
        <w:numPr>
          <w:ilvl w:val="1"/>
          <w:numId w:val="1"/>
        </w:numPr>
        <w:tabs>
          <w:tab w:val="left" w:pos="1101"/>
        </w:tabs>
        <w:ind w:right="342"/>
        <w:rPr>
          <w:sz w:val="18"/>
        </w:rPr>
      </w:pPr>
      <w:r>
        <w:rPr>
          <w:sz w:val="18"/>
        </w:rPr>
        <w:t xml:space="preserve">Peat, I.K., </w:t>
      </w:r>
      <w:proofErr w:type="spellStart"/>
      <w:r>
        <w:rPr>
          <w:sz w:val="18"/>
        </w:rPr>
        <w:t>Woolcock</w:t>
      </w:r>
      <w:proofErr w:type="spellEnd"/>
      <w:r>
        <w:rPr>
          <w:sz w:val="18"/>
        </w:rPr>
        <w:t xml:space="preserve">, A.J., and Cullen, H. Rate of decline of lung function in subjects with asthma. </w:t>
      </w:r>
      <w:proofErr w:type="spellStart"/>
      <w:r>
        <w:rPr>
          <w:sz w:val="18"/>
        </w:rPr>
        <w:t>Eur.J</w:t>
      </w:r>
      <w:proofErr w:type="spellEnd"/>
      <w:r>
        <w:rPr>
          <w:sz w:val="18"/>
        </w:rPr>
        <w:t xml:space="preserve"> .Resp. Dis 1987; 70:</w:t>
      </w:r>
      <w:r>
        <w:rPr>
          <w:spacing w:val="1"/>
          <w:sz w:val="18"/>
        </w:rPr>
        <w:t xml:space="preserve"> </w:t>
      </w:r>
      <w:r>
        <w:rPr>
          <w:sz w:val="18"/>
        </w:rPr>
        <w:t>171-9.</w:t>
      </w:r>
    </w:p>
    <w:p w:rsidR="0036789C" w:rsidRDefault="00D416F7">
      <w:pPr>
        <w:pStyle w:val="ListParagraph"/>
        <w:numPr>
          <w:ilvl w:val="1"/>
          <w:numId w:val="1"/>
        </w:numPr>
        <w:tabs>
          <w:tab w:val="left" w:pos="1101"/>
        </w:tabs>
        <w:ind w:right="349"/>
        <w:rPr>
          <w:sz w:val="18"/>
        </w:rPr>
      </w:pPr>
      <w:r>
        <w:rPr>
          <w:sz w:val="18"/>
        </w:rPr>
        <w:t xml:space="preserve">Silverman, R.A., Boudreaux, E.D., Woodruff, P.G., Clark, S. and Camargo, C.A. Cigarette smoking among </w:t>
      </w:r>
      <w:proofErr w:type="gramStart"/>
      <w:r>
        <w:rPr>
          <w:sz w:val="18"/>
        </w:rPr>
        <w:t>asthmatic  adults</w:t>
      </w:r>
      <w:proofErr w:type="gramEnd"/>
      <w:r>
        <w:rPr>
          <w:sz w:val="18"/>
        </w:rPr>
        <w:t xml:space="preserve"> presenting to 64 emergency departments. Chest 2003; 123:</w:t>
      </w:r>
      <w:r>
        <w:rPr>
          <w:spacing w:val="21"/>
          <w:sz w:val="18"/>
        </w:rPr>
        <w:t xml:space="preserve"> </w:t>
      </w:r>
      <w:r>
        <w:rPr>
          <w:sz w:val="18"/>
        </w:rPr>
        <w:t>1472-9.</w:t>
      </w:r>
    </w:p>
    <w:p w:rsidR="0036789C" w:rsidRDefault="00D416F7">
      <w:pPr>
        <w:pStyle w:val="ListParagraph"/>
        <w:numPr>
          <w:ilvl w:val="1"/>
          <w:numId w:val="1"/>
        </w:numPr>
        <w:tabs>
          <w:tab w:val="left" w:pos="1101"/>
        </w:tabs>
        <w:spacing w:before="1"/>
        <w:ind w:right="345"/>
        <w:rPr>
          <w:sz w:val="18"/>
        </w:rPr>
      </w:pPr>
      <w:proofErr w:type="spellStart"/>
      <w:r>
        <w:rPr>
          <w:sz w:val="18"/>
        </w:rPr>
        <w:t>Huovinen</w:t>
      </w:r>
      <w:proofErr w:type="spellEnd"/>
      <w:r>
        <w:rPr>
          <w:sz w:val="18"/>
        </w:rPr>
        <w:t xml:space="preserve">, E., </w:t>
      </w:r>
      <w:proofErr w:type="spellStart"/>
      <w:r>
        <w:rPr>
          <w:sz w:val="18"/>
        </w:rPr>
        <w:t>Kaprio</w:t>
      </w:r>
      <w:proofErr w:type="spellEnd"/>
      <w:r>
        <w:rPr>
          <w:sz w:val="18"/>
        </w:rPr>
        <w:t xml:space="preserve">, J., </w:t>
      </w:r>
      <w:proofErr w:type="spellStart"/>
      <w:r>
        <w:rPr>
          <w:sz w:val="18"/>
        </w:rPr>
        <w:t>Vesterinen</w:t>
      </w:r>
      <w:proofErr w:type="spellEnd"/>
      <w:r>
        <w:rPr>
          <w:sz w:val="18"/>
        </w:rPr>
        <w:t xml:space="preserve">, E. and </w:t>
      </w:r>
      <w:proofErr w:type="spellStart"/>
      <w:r>
        <w:rPr>
          <w:sz w:val="18"/>
        </w:rPr>
        <w:t>Koskenvuo</w:t>
      </w:r>
      <w:proofErr w:type="spellEnd"/>
      <w:r>
        <w:rPr>
          <w:sz w:val="18"/>
        </w:rPr>
        <w:t>, M. Mortality of adults with asthma: A prospective cohort study. Thorax 1997; 52:</w:t>
      </w:r>
      <w:r>
        <w:rPr>
          <w:spacing w:val="6"/>
          <w:sz w:val="18"/>
        </w:rPr>
        <w:t xml:space="preserve"> </w:t>
      </w:r>
      <w:r>
        <w:rPr>
          <w:spacing w:val="2"/>
          <w:sz w:val="18"/>
        </w:rPr>
        <w:t>49–54</w:t>
      </w:r>
    </w:p>
    <w:sectPr w:rsidR="0036789C">
      <w:headerReference w:type="default" r:id="rId9"/>
      <w:footerReference w:type="default" r:id="rId10"/>
      <w:pgSz w:w="11910" w:h="16840"/>
      <w:pgMar w:top="1340" w:right="400" w:bottom="1180" w:left="1060" w:header="722"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7C" w:rsidRDefault="006A4B7C">
      <w:r>
        <w:separator/>
      </w:r>
    </w:p>
  </w:endnote>
  <w:endnote w:type="continuationSeparator" w:id="0">
    <w:p w:rsidR="006A4B7C" w:rsidRDefault="006A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9C" w:rsidRDefault="00D416F7">
    <w:pPr>
      <w:pStyle w:val="BodyText"/>
      <w:spacing w:line="14" w:lineRule="auto"/>
    </w:pPr>
    <w:r>
      <w:rPr>
        <w:noProof/>
      </w:rPr>
      <w:drawing>
        <wp:anchor distT="0" distB="0" distL="0" distR="0" simplePos="0" relativeHeight="251657216" behindDoc="1" locked="0" layoutInCell="1" allowOverlap="1" wp14:anchorId="08E2DFA2" wp14:editId="02A9F4F0">
          <wp:simplePos x="0" y="0"/>
          <wp:positionH relativeFrom="page">
            <wp:posOffset>914400</wp:posOffset>
          </wp:positionH>
          <wp:positionV relativeFrom="page">
            <wp:posOffset>9933304</wp:posOffset>
          </wp:positionV>
          <wp:extent cx="762000" cy="2711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2000" cy="271145"/>
                  </a:xfrm>
                  <a:prstGeom prst="rect">
                    <a:avLst/>
                  </a:prstGeom>
                </pic:spPr>
              </pic:pic>
            </a:graphicData>
          </a:graphic>
        </wp:anchor>
      </w:drawing>
    </w:r>
    <w:r w:rsidR="0008097A">
      <w:rPr>
        <w:noProof/>
      </w:rPr>
      <mc:AlternateContent>
        <mc:Choice Requires="wps">
          <w:drawing>
            <wp:anchor distT="0" distB="0" distL="114300" distR="114300" simplePos="0" relativeHeight="487305216" behindDoc="1" locked="0" layoutInCell="1" allowOverlap="1" wp14:anchorId="4D265FAC" wp14:editId="54312413">
              <wp:simplePos x="0" y="0"/>
              <wp:positionH relativeFrom="page">
                <wp:posOffset>1663700</wp:posOffset>
              </wp:positionH>
              <wp:positionV relativeFrom="page">
                <wp:posOffset>10080625</wp:posOffset>
              </wp:positionV>
              <wp:extent cx="44583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3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89C" w:rsidRDefault="00D416F7">
                          <w:pPr>
                            <w:pStyle w:val="BodyText"/>
                            <w:spacing w:before="10"/>
                            <w:ind w:left="20"/>
                          </w:pPr>
                          <w:r>
                            <w:t>This work is licensed under a Creative Commons Attribution 4.0 International License.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31pt;margin-top:793.75pt;width:351.05pt;height:13.05pt;z-index:-160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sO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" filled="f" stroked="f">
              <v:textbox inset="0,0,0,0">
                <w:txbxContent>
                  <w:p w:rsidR="0036789C" w:rsidRDefault="00D416F7">
                    <w:pPr>
                      <w:pStyle w:val="BodyText"/>
                      <w:spacing w:before="10"/>
                      <w:ind w:left="20"/>
                    </w:pPr>
                    <w:r>
                      <w:t>This work is licensed under a Creative Commons Attribution 4.0 International License.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7C" w:rsidRDefault="006A4B7C">
      <w:r>
        <w:separator/>
      </w:r>
    </w:p>
  </w:footnote>
  <w:footnote w:type="continuationSeparator" w:id="0">
    <w:p w:rsidR="006A4B7C" w:rsidRDefault="006A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9C" w:rsidRDefault="0008097A">
    <w:pPr>
      <w:pStyle w:val="BodyText"/>
      <w:spacing w:line="14" w:lineRule="auto"/>
    </w:pPr>
    <w:r>
      <w:rPr>
        <w:noProof/>
      </w:rPr>
      <mc:AlternateContent>
        <mc:Choice Requires="wps">
          <w:drawing>
            <wp:anchor distT="0" distB="0" distL="114300" distR="114300" simplePos="0" relativeHeight="487303680" behindDoc="1" locked="0" layoutInCell="1" allowOverlap="1" wp14:anchorId="309404A2" wp14:editId="398278D1">
              <wp:simplePos x="0" y="0"/>
              <wp:positionH relativeFrom="page">
                <wp:posOffset>6115050</wp:posOffset>
              </wp:positionH>
              <wp:positionV relativeFrom="page">
                <wp:posOffset>445770</wp:posOffset>
              </wp:positionV>
              <wp:extent cx="75819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89C" w:rsidRDefault="00D416F7">
                          <w:pPr>
                            <w:spacing w:before="10"/>
                            <w:ind w:left="20"/>
                            <w:rPr>
                              <w:i/>
                              <w:sz w:val="24"/>
                            </w:rPr>
                          </w:pPr>
                          <w:proofErr w:type="spellStart"/>
                          <w:r>
                            <w:rPr>
                              <w:i/>
                            </w:rPr>
                            <w:t>Ruqaya</w:t>
                          </w:r>
                          <w:proofErr w:type="spellEnd"/>
                          <w:r>
                            <w:rPr>
                              <w:i/>
                            </w:rPr>
                            <w:t xml:space="preserve"> </w:t>
                          </w:r>
                          <w:r>
                            <w:rPr>
                              <w:i/>
                              <w:sz w:val="24"/>
                            </w:rPr>
                            <w:t>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1.5pt;margin-top:35.1pt;width:59.7pt;height:15.3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lprgIAAKg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" filled="f" stroked="f">
              <v:textbox inset="0,0,0,0">
                <w:txbxContent>
                  <w:p w:rsidR="0036789C" w:rsidRDefault="00D416F7">
                    <w:pPr>
                      <w:spacing w:before="10"/>
                      <w:ind w:left="20"/>
                      <w:rPr>
                        <w:i/>
                        <w:sz w:val="24"/>
                      </w:rPr>
                    </w:pPr>
                    <w:proofErr w:type="spellStart"/>
                    <w:r>
                      <w:rPr>
                        <w:i/>
                      </w:rPr>
                      <w:t>Ruqaya</w:t>
                    </w:r>
                    <w:proofErr w:type="spellEnd"/>
                    <w:r>
                      <w:rPr>
                        <w:i/>
                      </w:rPr>
                      <w:t xml:space="preserve"> </w:t>
                    </w:r>
                    <w:r>
                      <w:rPr>
                        <w:i/>
                        <w:sz w:val="24"/>
                      </w:rPr>
                      <w:t>et al</w:t>
                    </w:r>
                  </w:p>
                </w:txbxContent>
              </v:textbox>
              <w10:wrap anchorx="page" anchory="page"/>
            </v:shape>
          </w:pict>
        </mc:Fallback>
      </mc:AlternateContent>
    </w:r>
    <w:r>
      <w:rPr>
        <w:noProof/>
      </w:rPr>
      <mc:AlternateContent>
        <mc:Choice Requires="wps">
          <w:drawing>
            <wp:anchor distT="0" distB="0" distL="114300" distR="114300" simplePos="0" relativeHeight="487304192" behindDoc="1" locked="0" layoutInCell="1" allowOverlap="1" wp14:anchorId="5D61CC15" wp14:editId="0BDF1986">
              <wp:simplePos x="0" y="0"/>
              <wp:positionH relativeFrom="page">
                <wp:posOffset>3189605</wp:posOffset>
              </wp:positionH>
              <wp:positionV relativeFrom="page">
                <wp:posOffset>624205</wp:posOffset>
              </wp:positionV>
              <wp:extent cx="1619885"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89C" w:rsidRDefault="00D416F7">
                          <w:pPr>
                            <w:spacing w:before="11"/>
                            <w:ind w:left="20"/>
                            <w:rPr>
                              <w:b/>
                            </w:rPr>
                          </w:pPr>
                          <w:proofErr w:type="spellStart"/>
                          <w:r>
                            <w:rPr>
                              <w:b/>
                            </w:rPr>
                            <w:t>Biosight</w:t>
                          </w:r>
                          <w:proofErr w:type="spellEnd"/>
                          <w:r>
                            <w:rPr>
                              <w:b/>
                            </w:rPr>
                            <w:t xml:space="preserve"> 2020; 01(02): 6-10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51.15pt;margin-top:49.15pt;width:127.55pt;height:14.25pt;z-index:-160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wI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" filled="f" stroked="f">
              <v:textbox inset="0,0,0,0">
                <w:txbxContent>
                  <w:p w:rsidR="0036789C" w:rsidRDefault="00D416F7">
                    <w:pPr>
                      <w:spacing w:before="11"/>
                      <w:ind w:left="20"/>
                      <w:rPr>
                        <w:b/>
                      </w:rPr>
                    </w:pPr>
                    <w:proofErr w:type="spellStart"/>
                    <w:r>
                      <w:rPr>
                        <w:b/>
                      </w:rPr>
                      <w:t>Biosight</w:t>
                    </w:r>
                    <w:proofErr w:type="spellEnd"/>
                    <w:r>
                      <w:rPr>
                        <w:b/>
                      </w:rPr>
                      <w:t xml:space="preserve"> 2020; 01(02): 6-10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257"/>
    <w:multiLevelType w:val="hybridMultilevel"/>
    <w:tmpl w:val="A056A3FE"/>
    <w:lvl w:ilvl="0" w:tplc="B0EA7B7C">
      <w:start w:val="17"/>
      <w:numFmt w:val="decimal"/>
      <w:lvlText w:val="[%1]"/>
      <w:lvlJc w:val="left"/>
      <w:pPr>
        <w:ind w:left="380" w:hanging="424"/>
        <w:jc w:val="left"/>
      </w:pPr>
      <w:rPr>
        <w:rFonts w:ascii="Times New Roman" w:eastAsia="Times New Roman" w:hAnsi="Times New Roman" w:cs="Times New Roman" w:hint="default"/>
        <w:w w:val="99"/>
        <w:sz w:val="20"/>
        <w:szCs w:val="20"/>
        <w:lang w:val="en-US" w:eastAsia="en-US" w:bidi="ar-SA"/>
      </w:rPr>
    </w:lvl>
    <w:lvl w:ilvl="1" w:tplc="DE889914">
      <w:start w:val="1"/>
      <w:numFmt w:val="decimal"/>
      <w:lvlText w:val="%2."/>
      <w:lvlJc w:val="left"/>
      <w:pPr>
        <w:ind w:left="1100" w:hanging="360"/>
        <w:jc w:val="left"/>
      </w:pPr>
      <w:rPr>
        <w:rFonts w:ascii="Times New Roman" w:eastAsia="Times New Roman" w:hAnsi="Times New Roman" w:cs="Times New Roman" w:hint="default"/>
        <w:spacing w:val="-23"/>
        <w:w w:val="99"/>
        <w:sz w:val="18"/>
        <w:szCs w:val="18"/>
        <w:lang w:val="en-US" w:eastAsia="en-US" w:bidi="ar-SA"/>
      </w:rPr>
    </w:lvl>
    <w:lvl w:ilvl="2" w:tplc="F978263A">
      <w:numFmt w:val="bullet"/>
      <w:lvlText w:val="•"/>
      <w:lvlJc w:val="left"/>
      <w:pPr>
        <w:ind w:left="2138" w:hanging="360"/>
      </w:pPr>
      <w:rPr>
        <w:rFonts w:hint="default"/>
        <w:lang w:val="en-US" w:eastAsia="en-US" w:bidi="ar-SA"/>
      </w:rPr>
    </w:lvl>
    <w:lvl w:ilvl="3" w:tplc="EC426420">
      <w:numFmt w:val="bullet"/>
      <w:lvlText w:val="•"/>
      <w:lvlJc w:val="left"/>
      <w:pPr>
        <w:ind w:left="3176" w:hanging="360"/>
      </w:pPr>
      <w:rPr>
        <w:rFonts w:hint="default"/>
        <w:lang w:val="en-US" w:eastAsia="en-US" w:bidi="ar-SA"/>
      </w:rPr>
    </w:lvl>
    <w:lvl w:ilvl="4" w:tplc="9CA4C9C8">
      <w:numFmt w:val="bullet"/>
      <w:lvlText w:val="•"/>
      <w:lvlJc w:val="left"/>
      <w:pPr>
        <w:ind w:left="4215" w:hanging="360"/>
      </w:pPr>
      <w:rPr>
        <w:rFonts w:hint="default"/>
        <w:lang w:val="en-US" w:eastAsia="en-US" w:bidi="ar-SA"/>
      </w:rPr>
    </w:lvl>
    <w:lvl w:ilvl="5" w:tplc="75D63526">
      <w:numFmt w:val="bullet"/>
      <w:lvlText w:val="•"/>
      <w:lvlJc w:val="left"/>
      <w:pPr>
        <w:ind w:left="5253" w:hanging="360"/>
      </w:pPr>
      <w:rPr>
        <w:rFonts w:hint="default"/>
        <w:lang w:val="en-US" w:eastAsia="en-US" w:bidi="ar-SA"/>
      </w:rPr>
    </w:lvl>
    <w:lvl w:ilvl="6" w:tplc="4C0CD604">
      <w:numFmt w:val="bullet"/>
      <w:lvlText w:val="•"/>
      <w:lvlJc w:val="left"/>
      <w:pPr>
        <w:ind w:left="6292" w:hanging="360"/>
      </w:pPr>
      <w:rPr>
        <w:rFonts w:hint="default"/>
        <w:lang w:val="en-US" w:eastAsia="en-US" w:bidi="ar-SA"/>
      </w:rPr>
    </w:lvl>
    <w:lvl w:ilvl="7" w:tplc="F40C36A6">
      <w:numFmt w:val="bullet"/>
      <w:lvlText w:val="•"/>
      <w:lvlJc w:val="left"/>
      <w:pPr>
        <w:ind w:left="7330" w:hanging="360"/>
      </w:pPr>
      <w:rPr>
        <w:rFonts w:hint="default"/>
        <w:lang w:val="en-US" w:eastAsia="en-US" w:bidi="ar-SA"/>
      </w:rPr>
    </w:lvl>
    <w:lvl w:ilvl="8" w:tplc="CA6C0C40">
      <w:numFmt w:val="bullet"/>
      <w:lvlText w:val="•"/>
      <w:lvlJc w:val="left"/>
      <w:pPr>
        <w:ind w:left="8369" w:hanging="360"/>
      </w:pPr>
      <w:rPr>
        <w:rFonts w:hint="default"/>
        <w:lang w:val="en-US" w:eastAsia="en-US" w:bidi="ar-SA"/>
      </w:rPr>
    </w:lvl>
  </w:abstractNum>
  <w:abstractNum w:abstractNumId="1">
    <w:nsid w:val="263C0170"/>
    <w:multiLevelType w:val="hybridMultilevel"/>
    <w:tmpl w:val="86A872A6"/>
    <w:lvl w:ilvl="0" w:tplc="C066C310">
      <w:numFmt w:val="bullet"/>
      <w:lvlText w:val="•"/>
      <w:lvlJc w:val="left"/>
      <w:pPr>
        <w:ind w:left="1100" w:hanging="360"/>
      </w:pPr>
      <w:rPr>
        <w:rFonts w:ascii="Times New Roman" w:eastAsia="Times New Roman" w:hAnsi="Times New Roman" w:cs="Times New Roman" w:hint="default"/>
        <w:w w:val="99"/>
        <w:sz w:val="20"/>
        <w:szCs w:val="20"/>
        <w:lang w:val="en-US" w:eastAsia="en-US" w:bidi="ar-SA"/>
      </w:rPr>
    </w:lvl>
    <w:lvl w:ilvl="1" w:tplc="DDC42B58">
      <w:numFmt w:val="bullet"/>
      <w:lvlText w:val="•"/>
      <w:lvlJc w:val="left"/>
      <w:pPr>
        <w:ind w:left="2034" w:hanging="360"/>
      </w:pPr>
      <w:rPr>
        <w:rFonts w:hint="default"/>
        <w:lang w:val="en-US" w:eastAsia="en-US" w:bidi="ar-SA"/>
      </w:rPr>
    </w:lvl>
    <w:lvl w:ilvl="2" w:tplc="308E2E84">
      <w:numFmt w:val="bullet"/>
      <w:lvlText w:val="•"/>
      <w:lvlJc w:val="left"/>
      <w:pPr>
        <w:ind w:left="2969" w:hanging="360"/>
      </w:pPr>
      <w:rPr>
        <w:rFonts w:hint="default"/>
        <w:lang w:val="en-US" w:eastAsia="en-US" w:bidi="ar-SA"/>
      </w:rPr>
    </w:lvl>
    <w:lvl w:ilvl="3" w:tplc="01E2B862">
      <w:numFmt w:val="bullet"/>
      <w:lvlText w:val="•"/>
      <w:lvlJc w:val="left"/>
      <w:pPr>
        <w:ind w:left="3903" w:hanging="360"/>
      </w:pPr>
      <w:rPr>
        <w:rFonts w:hint="default"/>
        <w:lang w:val="en-US" w:eastAsia="en-US" w:bidi="ar-SA"/>
      </w:rPr>
    </w:lvl>
    <w:lvl w:ilvl="4" w:tplc="15A47B46">
      <w:numFmt w:val="bullet"/>
      <w:lvlText w:val="•"/>
      <w:lvlJc w:val="left"/>
      <w:pPr>
        <w:ind w:left="4838" w:hanging="360"/>
      </w:pPr>
      <w:rPr>
        <w:rFonts w:hint="default"/>
        <w:lang w:val="en-US" w:eastAsia="en-US" w:bidi="ar-SA"/>
      </w:rPr>
    </w:lvl>
    <w:lvl w:ilvl="5" w:tplc="9A9CDC2E">
      <w:numFmt w:val="bullet"/>
      <w:lvlText w:val="•"/>
      <w:lvlJc w:val="left"/>
      <w:pPr>
        <w:ind w:left="5773" w:hanging="360"/>
      </w:pPr>
      <w:rPr>
        <w:rFonts w:hint="default"/>
        <w:lang w:val="en-US" w:eastAsia="en-US" w:bidi="ar-SA"/>
      </w:rPr>
    </w:lvl>
    <w:lvl w:ilvl="6" w:tplc="4D2C04C6">
      <w:numFmt w:val="bullet"/>
      <w:lvlText w:val="•"/>
      <w:lvlJc w:val="left"/>
      <w:pPr>
        <w:ind w:left="6707" w:hanging="360"/>
      </w:pPr>
      <w:rPr>
        <w:rFonts w:hint="default"/>
        <w:lang w:val="en-US" w:eastAsia="en-US" w:bidi="ar-SA"/>
      </w:rPr>
    </w:lvl>
    <w:lvl w:ilvl="7" w:tplc="58DC79A8">
      <w:numFmt w:val="bullet"/>
      <w:lvlText w:val="•"/>
      <w:lvlJc w:val="left"/>
      <w:pPr>
        <w:ind w:left="7642" w:hanging="360"/>
      </w:pPr>
      <w:rPr>
        <w:rFonts w:hint="default"/>
        <w:lang w:val="en-US" w:eastAsia="en-US" w:bidi="ar-SA"/>
      </w:rPr>
    </w:lvl>
    <w:lvl w:ilvl="8" w:tplc="8208DB06">
      <w:numFmt w:val="bullet"/>
      <w:lvlText w:val="•"/>
      <w:lvlJc w:val="left"/>
      <w:pPr>
        <w:ind w:left="8577"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15D82"/>
    <w:rsid w:val="00021C1C"/>
    <w:rsid w:val="0008097A"/>
    <w:rsid w:val="000A22A6"/>
    <w:rsid w:val="002952A2"/>
    <w:rsid w:val="00297A1B"/>
    <w:rsid w:val="003641D2"/>
    <w:rsid w:val="0036789C"/>
    <w:rsid w:val="003A2A36"/>
    <w:rsid w:val="003B1A8F"/>
    <w:rsid w:val="004A03FC"/>
    <w:rsid w:val="0053238F"/>
    <w:rsid w:val="00532FDF"/>
    <w:rsid w:val="00555539"/>
    <w:rsid w:val="00556804"/>
    <w:rsid w:val="0063020E"/>
    <w:rsid w:val="006467EE"/>
    <w:rsid w:val="006A4B7C"/>
    <w:rsid w:val="00724B96"/>
    <w:rsid w:val="007B79E4"/>
    <w:rsid w:val="007F0E07"/>
    <w:rsid w:val="008E56DF"/>
    <w:rsid w:val="009D2598"/>
    <w:rsid w:val="00AC2221"/>
    <w:rsid w:val="00AC4732"/>
    <w:rsid w:val="00B37D1C"/>
    <w:rsid w:val="00B620BB"/>
    <w:rsid w:val="00CA610B"/>
    <w:rsid w:val="00CA65B9"/>
    <w:rsid w:val="00CB05E9"/>
    <w:rsid w:val="00D003CB"/>
    <w:rsid w:val="00D07910"/>
    <w:rsid w:val="00D416F7"/>
    <w:rsid w:val="00D772E9"/>
    <w:rsid w:val="00F2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28" w:lineRule="exact"/>
      <w:ind w:left="3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85"/>
      <w:ind w:left="200"/>
    </w:pPr>
    <w:rPr>
      <w:b/>
      <w:bCs/>
      <w:sz w:val="28"/>
      <w:szCs w:val="28"/>
    </w:rPr>
  </w:style>
  <w:style w:type="paragraph" w:styleId="ListParagraph">
    <w:name w:val="List Paragraph"/>
    <w:basedOn w:val="Normal"/>
    <w:uiPriority w:val="1"/>
    <w:qFormat/>
    <w:pPr>
      <w:ind w:left="1100" w:right="344" w:hanging="360"/>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AC2221"/>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AC222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28" w:lineRule="exact"/>
      <w:ind w:left="3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85"/>
      <w:ind w:left="200"/>
    </w:pPr>
    <w:rPr>
      <w:b/>
      <w:bCs/>
      <w:sz w:val="28"/>
      <w:szCs w:val="28"/>
    </w:rPr>
  </w:style>
  <w:style w:type="paragraph" w:styleId="ListParagraph">
    <w:name w:val="List Paragraph"/>
    <w:basedOn w:val="Normal"/>
    <w:uiPriority w:val="1"/>
    <w:qFormat/>
    <w:pPr>
      <w:ind w:left="1100" w:right="344" w:hanging="360"/>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AC2221"/>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AC22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uqnanrs2009@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Taseer Ahmed Khan</dc:creator>
  <cp:lastModifiedBy>Taseer Ahmed Khan</cp:lastModifiedBy>
  <cp:revision>6</cp:revision>
  <dcterms:created xsi:type="dcterms:W3CDTF">2021-03-30T10:57:00Z</dcterms:created>
  <dcterms:modified xsi:type="dcterms:W3CDTF">2021-03-30T11:15:00Z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Microsoft® Office Word 2007</vt:lpwstr>
  </property>
  <property fmtid="{D5CDD505-2E9C-101B-9397-08002B2CF9AE}" pid="4" name="LastSaved">
    <vt:filetime>2021-03-28T00:00:00Z</vt:filetime>
  </property>
</Properties>
</file>